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临猗县住房和城乡建设管理局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hint="eastAsia" w:ascii="宋体" w:hAnsi="宋体" w:cs="宋体"/>
          <w:b/>
          <w:bCs/>
          <w:sz w:val="44"/>
          <w:szCs w:val="44"/>
        </w:rPr>
        <w:t>年度城镇老旧小区改造任务进度的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</w:t>
      </w:r>
      <w:r>
        <w:rPr>
          <w:rFonts w:ascii="宋体" w:hAnsi="宋体" w:cs="宋体"/>
          <w:b/>
          <w:bCs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告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一、临猗县</w:t>
      </w:r>
      <w:r>
        <w:rPr>
          <w:rFonts w:ascii="黑体" w:hAnsi="黑体" w:eastAsia="黑体" w:cs="黑体"/>
          <w:sz w:val="32"/>
          <w:szCs w:val="32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年城镇老旧小区改造任务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年完成临猗县银湖小区、贸易货栈、老审计小区、职中小区、信苑安居小区、财政局单元楼、土产公司单元楼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个老旧小区改造任务。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二、年度计划制定情况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按计划完成立项、设计预算、财政评审、招投标等前期工作后施工，预计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月底完成。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三、目前进展情况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个老旧小区改造已完成。</w:t>
      </w: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ascii="宋体" w:hAnsi="宋体"/>
          <w:sz w:val="32"/>
          <w:szCs w:val="32"/>
        </w:rPr>
        <w:t xml:space="preserve">                   </w:t>
      </w: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/>
          <w:sz w:val="32"/>
          <w:szCs w:val="32"/>
        </w:rPr>
      </w:pPr>
    </w:p>
    <w:p>
      <w:pPr>
        <w:wordWrap w:val="0"/>
        <w:spacing w:line="560" w:lineRule="exact"/>
        <w:ind w:right="640"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21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2024-01-02T03:09:53Z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