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spacing w:beforeLines="100" w:line="360" w:lineRule="auto"/>
        <w:ind w:firstLine="0" w:firstLineChars="0"/>
        <w:jc w:val="center"/>
        <w:rPr>
          <w:rFonts w:ascii="仿宋" w:hAnsi="仿宋" w:eastAsia="仿宋" w:cs="仿宋"/>
          <w:b/>
          <w:sz w:val="52"/>
          <w:szCs w:val="52"/>
        </w:rPr>
      </w:pPr>
    </w:p>
    <w:p>
      <w:pPr>
        <w:pStyle w:val="16"/>
        <w:spacing w:beforeLines="100" w:line="360" w:lineRule="auto"/>
        <w:ind w:firstLine="0" w:firstLineChars="0"/>
        <w:jc w:val="center"/>
        <w:rPr>
          <w:rFonts w:ascii="仿宋" w:hAnsi="仿宋" w:eastAsia="仿宋" w:cs="仿宋"/>
          <w:b/>
          <w:sz w:val="52"/>
          <w:szCs w:val="52"/>
        </w:rPr>
      </w:pPr>
    </w:p>
    <w:p>
      <w:pPr>
        <w:autoSpaceDE w:val="0"/>
        <w:autoSpaceDN w:val="0"/>
        <w:adjustRightInd w:val="0"/>
        <w:spacing w:line="360" w:lineRule="auto"/>
        <w:jc w:val="center"/>
        <w:rPr>
          <w:rFonts w:hint="eastAsia" w:ascii="仿宋" w:hAnsi="仿宋" w:eastAsia="仿宋" w:cs="仿宋"/>
          <w:kern w:val="0"/>
          <w:sz w:val="36"/>
          <w:szCs w:val="36"/>
        </w:rPr>
      </w:pPr>
      <w:r>
        <w:rPr>
          <w:rFonts w:hint="eastAsia" w:ascii="仿宋" w:hAnsi="仿宋" w:eastAsia="仿宋" w:cs="仿宋"/>
          <w:kern w:val="0"/>
          <w:sz w:val="36"/>
          <w:szCs w:val="36"/>
        </w:rPr>
        <w:t>涑水河临猗县城区段（滞洪区）配套工程项目</w:t>
      </w:r>
    </w:p>
    <w:p>
      <w:pPr>
        <w:autoSpaceDE w:val="0"/>
        <w:autoSpaceDN w:val="0"/>
        <w:adjustRightInd w:val="0"/>
        <w:spacing w:line="360" w:lineRule="auto"/>
        <w:jc w:val="center"/>
        <w:rPr>
          <w:rFonts w:ascii="仿宋" w:hAnsi="仿宋" w:eastAsia="仿宋" w:cs="仿宋"/>
          <w:kern w:val="0"/>
          <w:sz w:val="36"/>
          <w:szCs w:val="36"/>
        </w:rPr>
      </w:pPr>
      <w:r>
        <w:rPr>
          <w:rFonts w:hint="eastAsia" w:ascii="仿宋" w:hAnsi="仿宋" w:eastAsia="仿宋" w:cs="仿宋"/>
          <w:kern w:val="0"/>
          <w:sz w:val="36"/>
          <w:szCs w:val="36"/>
        </w:rPr>
        <w:t>绩效评价报告</w:t>
      </w: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ind w:left="420" w:leftChars="200"/>
        <w:rPr>
          <w:rFonts w:hint="eastAsia" w:ascii="仿宋" w:hAnsi="仿宋" w:eastAsia="仿宋" w:cs="仿宋"/>
          <w:spacing w:val="-10"/>
          <w:kern w:val="0"/>
          <w:sz w:val="28"/>
          <w:szCs w:val="28"/>
        </w:rPr>
      </w:pPr>
    </w:p>
    <w:p>
      <w:pPr>
        <w:autoSpaceDE w:val="0"/>
        <w:autoSpaceDN w:val="0"/>
        <w:adjustRightInd w:val="0"/>
        <w:spacing w:line="360" w:lineRule="auto"/>
        <w:ind w:left="420" w:leftChars="200"/>
        <w:rPr>
          <w:rFonts w:ascii="仿宋" w:hAnsi="仿宋" w:eastAsia="仿宋" w:cs="仿宋"/>
          <w:kern w:val="0"/>
          <w:sz w:val="28"/>
          <w:szCs w:val="28"/>
        </w:rPr>
      </w:pPr>
      <w:r>
        <w:rPr>
          <w:rFonts w:hint="eastAsia" w:ascii="仿宋" w:hAnsi="仿宋" w:eastAsia="仿宋" w:cs="仿宋"/>
          <w:kern w:val="0"/>
          <w:sz w:val="28"/>
          <w:szCs w:val="28"/>
        </w:rPr>
        <w:t>主管部门：临猗县水务局</w:t>
      </w:r>
    </w:p>
    <w:p>
      <w:pPr>
        <w:autoSpaceDE w:val="0"/>
        <w:autoSpaceDN w:val="0"/>
        <w:adjustRightInd w:val="0"/>
        <w:spacing w:line="360" w:lineRule="auto"/>
        <w:ind w:left="420" w:leftChars="200"/>
        <w:rPr>
          <w:rFonts w:ascii="仿宋" w:hAnsi="仿宋" w:eastAsia="仿宋" w:cs="仿宋"/>
          <w:kern w:val="0"/>
          <w:sz w:val="28"/>
          <w:szCs w:val="28"/>
        </w:rPr>
      </w:pPr>
      <w:r>
        <w:rPr>
          <w:rFonts w:hint="eastAsia" w:ascii="仿宋" w:hAnsi="仿宋" w:eastAsia="仿宋" w:cs="仿宋"/>
          <w:kern w:val="0"/>
          <w:sz w:val="28"/>
          <w:szCs w:val="28"/>
        </w:rPr>
        <w:t>实施单位：临猗县涑水河道管理站</w:t>
      </w:r>
    </w:p>
    <w:p>
      <w:pPr>
        <w:autoSpaceDE w:val="0"/>
        <w:autoSpaceDN w:val="0"/>
        <w:adjustRightInd w:val="0"/>
        <w:spacing w:line="360" w:lineRule="auto"/>
        <w:ind w:left="420" w:leftChars="200"/>
        <w:rPr>
          <w:rFonts w:ascii="仿宋" w:hAnsi="仿宋" w:eastAsia="仿宋" w:cs="仿宋"/>
          <w:kern w:val="0"/>
          <w:sz w:val="28"/>
          <w:szCs w:val="28"/>
        </w:rPr>
      </w:pPr>
      <w:r>
        <w:rPr>
          <w:rFonts w:hint="eastAsia" w:ascii="仿宋" w:hAnsi="仿宋" w:eastAsia="仿宋" w:cs="仿宋"/>
          <w:kern w:val="0"/>
          <w:sz w:val="28"/>
          <w:szCs w:val="28"/>
        </w:rPr>
        <w:t>委托单位：临猗县财政局</w:t>
      </w:r>
    </w:p>
    <w:p>
      <w:pPr>
        <w:autoSpaceDE w:val="0"/>
        <w:autoSpaceDN w:val="0"/>
        <w:adjustRightInd w:val="0"/>
        <w:spacing w:line="360" w:lineRule="auto"/>
        <w:ind w:left="420" w:leftChars="200"/>
        <w:rPr>
          <w:rFonts w:ascii="仿宋" w:hAnsi="仿宋" w:eastAsia="仿宋" w:cs="仿宋"/>
          <w:kern w:val="0"/>
          <w:sz w:val="32"/>
          <w:szCs w:val="32"/>
        </w:rPr>
      </w:pPr>
      <w:r>
        <w:rPr>
          <w:rFonts w:hint="eastAsia" w:ascii="仿宋" w:hAnsi="仿宋" w:eastAsia="仿宋" w:cs="仿宋"/>
          <w:kern w:val="0"/>
          <w:sz w:val="28"/>
          <w:szCs w:val="28"/>
        </w:rPr>
        <w:t>评价机构：山西高盛新会计师事务所有限公司</w:t>
      </w: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r>
        <w:rPr>
          <w:rFonts w:hint="eastAsia" w:ascii="仿宋" w:hAnsi="仿宋" w:eastAsia="仿宋" w:cs="仿宋"/>
          <w:kern w:val="0"/>
          <w:sz w:val="32"/>
          <w:szCs w:val="32"/>
        </w:rPr>
        <w:t>2021年9月25日</w:t>
      </w: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b/>
          <w:bCs/>
          <w:sz w:val="44"/>
          <w:szCs w:val="44"/>
        </w:rPr>
        <w:sectPr>
          <w:footerReference r:id="rId3" w:type="default"/>
          <w:pgSz w:w="11906" w:h="16838"/>
          <w:pgMar w:top="1440" w:right="1800" w:bottom="1440" w:left="1800" w:header="851" w:footer="992" w:gutter="0"/>
          <w:pgNumType w:start="1"/>
          <w:cols w:space="720" w:num="1"/>
          <w:docGrid w:type="lines" w:linePitch="312" w:charSpace="0"/>
        </w:sectPr>
      </w:pPr>
    </w:p>
    <w:sdt>
      <w:sdtPr>
        <w:rPr>
          <w:rFonts w:ascii="宋体" w:hAnsi="宋体"/>
          <w:b/>
          <w:bCs/>
        </w:rPr>
        <w:id w:val="147452961"/>
        <w:docPartObj>
          <w:docPartGallery w:val="Table of Contents"/>
          <w:docPartUnique/>
        </w:docPartObj>
      </w:sdtPr>
      <w:sdtEndPr>
        <w:rPr>
          <w:rFonts w:hint="eastAsia" w:ascii="仿宋" w:hAnsi="仿宋" w:eastAsia="仿宋" w:cs="仿宋"/>
          <w:b/>
          <w:bCs/>
          <w:szCs w:val="44"/>
        </w:rPr>
      </w:sdtEndPr>
      <w:sdtContent>
        <w:p>
          <w:pPr>
            <w:jc w:val="center"/>
          </w:pPr>
          <w:r>
            <w:rPr>
              <w:rFonts w:hint="eastAsia" w:ascii="仿宋" w:hAnsi="仿宋" w:eastAsia="仿宋" w:cs="仿宋"/>
              <w:b/>
              <w:bCs/>
              <w:sz w:val="44"/>
              <w:szCs w:val="44"/>
            </w:rPr>
            <w:t>目  录</w:t>
          </w:r>
        </w:p>
        <w:p>
          <w:pPr>
            <w:pStyle w:val="24"/>
            <w:tabs>
              <w:tab w:val="right" w:leader="dot" w:pos="8306"/>
            </w:tabs>
            <w:spacing w:line="520" w:lineRule="exact"/>
            <w:rPr>
              <w:rFonts w:ascii="仿宋" w:hAnsi="仿宋" w:eastAsia="仿宋" w:cs="仿宋"/>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TOC \o "1-3" \h \u </w:instrText>
          </w:r>
          <w:r>
            <w:rPr>
              <w:rFonts w:hint="eastAsia" w:ascii="仿宋" w:hAnsi="仿宋" w:eastAsia="仿宋" w:cs="仿宋"/>
              <w:b/>
              <w:bCs/>
              <w:sz w:val="28"/>
              <w:szCs w:val="28"/>
            </w:rPr>
            <w:fldChar w:fldCharType="separate"/>
          </w:r>
          <w:r>
            <w:fldChar w:fldCharType="begin"/>
          </w:r>
          <w:r>
            <w:instrText xml:space="preserve"> HYPERLINK \l "_Toc1166" </w:instrText>
          </w:r>
          <w:r>
            <w:fldChar w:fldCharType="separate"/>
          </w:r>
          <w:r>
            <w:rPr>
              <w:rFonts w:hint="eastAsia" w:ascii="仿宋" w:hAnsi="仿宋" w:eastAsia="仿宋" w:cs="仿宋"/>
              <w:sz w:val="28"/>
              <w:szCs w:val="28"/>
            </w:rPr>
            <w:t>摘  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_Toc1166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"_Toc4418" </w:instrText>
          </w:r>
          <w:r>
            <w:fldChar w:fldCharType="separate"/>
          </w:r>
          <w:r>
            <w:rPr>
              <w:rFonts w:hint="eastAsia" w:ascii="仿宋" w:hAnsi="仿宋" w:eastAsia="仿宋" w:cs="仿宋"/>
              <w:sz w:val="28"/>
              <w:szCs w:val="28"/>
            </w:rPr>
            <w:t>一、项目基本情况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_Toc4418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"_Toc11507" </w:instrText>
          </w:r>
          <w:r>
            <w:fldChar w:fldCharType="separate"/>
          </w:r>
          <w:r>
            <w:rPr>
              <w:rFonts w:hint="eastAsia" w:ascii="仿宋" w:hAnsi="仿宋" w:eastAsia="仿宋" w:cs="仿宋"/>
              <w:sz w:val="28"/>
              <w:szCs w:val="28"/>
            </w:rPr>
            <w:t>（一）项目概况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_Toc11507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"_Toc12502" </w:instrText>
          </w:r>
          <w:r>
            <w:fldChar w:fldCharType="separate"/>
          </w:r>
          <w:r>
            <w:rPr>
              <w:rFonts w:hint="eastAsia" w:ascii="仿宋" w:hAnsi="仿宋" w:eastAsia="仿宋" w:cs="仿宋"/>
              <w:sz w:val="28"/>
              <w:szCs w:val="28"/>
            </w:rPr>
            <w:t>（二）项目绩效目标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_Toc12502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"_Toc19448" </w:instrText>
          </w:r>
          <w:r>
            <w:fldChar w:fldCharType="separate"/>
          </w:r>
          <w:r>
            <w:rPr>
              <w:rFonts w:hint="eastAsia" w:ascii="仿宋" w:hAnsi="仿宋" w:eastAsia="仿宋" w:cs="仿宋"/>
              <w:sz w:val="28"/>
              <w:szCs w:val="28"/>
            </w:rPr>
            <w:t>二、绩效评价工作情况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_Toc19448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"_Toc27670" </w:instrText>
          </w:r>
          <w:r>
            <w:fldChar w:fldCharType="separate"/>
          </w:r>
          <w:r>
            <w:rPr>
              <w:rFonts w:hint="eastAsia" w:ascii="仿宋" w:hAnsi="仿宋" w:eastAsia="仿宋" w:cs="仿宋"/>
              <w:sz w:val="28"/>
              <w:szCs w:val="28"/>
            </w:rPr>
            <w:t>（一）绩效评价目的和依据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_Toc27670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"_Toc11832" </w:instrText>
          </w:r>
          <w:r>
            <w:fldChar w:fldCharType="separate"/>
          </w:r>
          <w:r>
            <w:rPr>
              <w:rFonts w:hint="eastAsia" w:ascii="仿宋" w:hAnsi="仿宋" w:eastAsia="仿宋" w:cs="仿宋"/>
              <w:sz w:val="28"/>
              <w:szCs w:val="28"/>
            </w:rPr>
            <w:t>（二）评价原则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_Toc11832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"_Toc7375" </w:instrText>
          </w:r>
          <w:r>
            <w:fldChar w:fldCharType="separate"/>
          </w:r>
          <w:r>
            <w:rPr>
              <w:rFonts w:hint="eastAsia" w:ascii="仿宋" w:hAnsi="仿宋" w:eastAsia="仿宋" w:cs="仿宋"/>
              <w:sz w:val="28"/>
              <w:szCs w:val="28"/>
            </w:rPr>
            <w:t>（三）绩效评价指标体系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_Toc7375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"_Toc7369" </w:instrText>
          </w:r>
          <w:r>
            <w:fldChar w:fldCharType="separate"/>
          </w:r>
          <w:r>
            <w:rPr>
              <w:rFonts w:hint="eastAsia" w:ascii="仿宋" w:hAnsi="仿宋" w:eastAsia="仿宋" w:cs="仿宋"/>
              <w:sz w:val="28"/>
              <w:szCs w:val="28"/>
            </w:rPr>
            <w:t>（四）评价方法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_Toc7369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"_Toc16415" </w:instrText>
          </w:r>
          <w:r>
            <w:fldChar w:fldCharType="separate"/>
          </w:r>
          <w:r>
            <w:rPr>
              <w:rFonts w:hint="eastAsia" w:ascii="仿宋" w:hAnsi="仿宋" w:eastAsia="仿宋" w:cs="仿宋"/>
              <w:sz w:val="28"/>
              <w:szCs w:val="28"/>
            </w:rPr>
            <w:t>（五）绩效评价工作组及人员分工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_Toc16415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"_Toc31028" </w:instrText>
          </w:r>
          <w:r>
            <w:fldChar w:fldCharType="separate"/>
          </w:r>
          <w:r>
            <w:rPr>
              <w:rFonts w:hint="eastAsia" w:ascii="仿宋" w:hAnsi="仿宋" w:eastAsia="仿宋" w:cs="仿宋"/>
              <w:sz w:val="28"/>
              <w:szCs w:val="28"/>
            </w:rPr>
            <w:t>（六）绩效评价工作过程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_Toc31028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"_Toc31355" </w:instrText>
          </w:r>
          <w:r>
            <w:fldChar w:fldCharType="separate"/>
          </w:r>
          <w:r>
            <w:rPr>
              <w:rFonts w:hint="eastAsia" w:ascii="仿宋" w:hAnsi="仿宋" w:eastAsia="仿宋" w:cs="仿宋"/>
              <w:sz w:val="28"/>
              <w:szCs w:val="28"/>
            </w:rPr>
            <w:t>三、评价结论及绩效评价指标分析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_Toc31355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"_Toc22753" </w:instrText>
          </w:r>
          <w:r>
            <w:fldChar w:fldCharType="separate"/>
          </w:r>
          <w:r>
            <w:rPr>
              <w:rFonts w:hint="eastAsia" w:ascii="仿宋" w:hAnsi="仿宋" w:eastAsia="仿宋" w:cs="仿宋"/>
              <w:sz w:val="28"/>
              <w:szCs w:val="28"/>
            </w:rPr>
            <w:t>（一）评价结论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_Toc22753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5"/>
            <w:tabs>
              <w:tab w:val="right" w:leader="dot" w:pos="8306"/>
            </w:tabs>
            <w:spacing w:line="520" w:lineRule="exact"/>
            <w:ind w:left="420"/>
            <w:rPr>
              <w:rFonts w:ascii="仿宋" w:hAnsi="仿宋" w:eastAsia="仿宋" w:cs="仿宋"/>
              <w:sz w:val="28"/>
              <w:szCs w:val="28"/>
            </w:rPr>
          </w:pPr>
          <w:r>
            <w:fldChar w:fldCharType="begin"/>
          </w:r>
          <w:r>
            <w:instrText xml:space="preserve"> HYPERLINK \l "_Toc30219" </w:instrText>
          </w:r>
          <w:r>
            <w:fldChar w:fldCharType="separate"/>
          </w:r>
          <w:r>
            <w:rPr>
              <w:rFonts w:hint="eastAsia" w:ascii="仿宋" w:hAnsi="仿宋" w:eastAsia="仿宋" w:cs="仿宋"/>
              <w:sz w:val="28"/>
              <w:szCs w:val="28"/>
            </w:rPr>
            <w:t>（二）绩效评价指标分析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_Toc30219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"_Toc30478" </w:instrText>
          </w:r>
          <w:r>
            <w:fldChar w:fldCharType="separate"/>
          </w:r>
          <w:r>
            <w:rPr>
              <w:rFonts w:hint="eastAsia" w:ascii="仿宋" w:hAnsi="仿宋" w:eastAsia="仿宋" w:cs="仿宋"/>
              <w:sz w:val="28"/>
              <w:szCs w:val="28"/>
            </w:rPr>
            <w:t>四、绩效评价结果应用建议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_Toc30478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"_Toc29706" </w:instrText>
          </w:r>
          <w:r>
            <w:fldChar w:fldCharType="separate"/>
          </w:r>
          <w:r>
            <w:rPr>
              <w:rFonts w:hint="eastAsia" w:ascii="仿宋" w:hAnsi="仿宋" w:eastAsia="仿宋" w:cs="仿宋"/>
              <w:sz w:val="28"/>
              <w:szCs w:val="28"/>
            </w:rPr>
            <w:t>五、存在的问题和建议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_Toc29706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"_Toc1787" </w:instrText>
          </w:r>
          <w:r>
            <w:fldChar w:fldCharType="separate"/>
          </w:r>
          <w:r>
            <w:rPr>
              <w:rFonts w:hint="eastAsia" w:ascii="仿宋" w:hAnsi="仿宋" w:eastAsia="仿宋" w:cs="仿宋"/>
              <w:kern w:val="44"/>
              <w:sz w:val="28"/>
              <w:szCs w:val="28"/>
            </w:rPr>
            <w:t>附件1：财政支出项目绩效评价指标体系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_Toc1787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"_Toc7147" </w:instrText>
          </w:r>
          <w:r>
            <w:fldChar w:fldCharType="separate"/>
          </w:r>
          <w:r>
            <w:rPr>
              <w:rFonts w:hint="eastAsia" w:ascii="仿宋" w:hAnsi="仿宋" w:eastAsia="仿宋" w:cs="仿宋"/>
              <w:sz w:val="28"/>
              <w:szCs w:val="28"/>
            </w:rPr>
            <w:t>附件2：社会调查问卷汇总分析报告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_Toc7147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4"/>
            <w:tabs>
              <w:tab w:val="right" w:leader="dot" w:pos="8306"/>
            </w:tabs>
            <w:spacing w:line="520" w:lineRule="exact"/>
            <w:rPr>
              <w:rFonts w:ascii="仿宋" w:hAnsi="仿宋" w:eastAsia="仿宋" w:cs="仿宋"/>
              <w:sz w:val="28"/>
              <w:szCs w:val="28"/>
            </w:rPr>
          </w:pPr>
          <w:r>
            <w:fldChar w:fldCharType="begin"/>
          </w:r>
          <w:r>
            <w:instrText xml:space="preserve"> HYPERLINK \l "_Toc10559" </w:instrText>
          </w:r>
          <w:r>
            <w:fldChar w:fldCharType="separate"/>
          </w:r>
          <w:r>
            <w:rPr>
              <w:rFonts w:hint="eastAsia" w:ascii="仿宋" w:hAnsi="仿宋" w:eastAsia="仿宋" w:cs="仿宋"/>
              <w:sz w:val="28"/>
              <w:szCs w:val="28"/>
            </w:rPr>
            <w:t>附件3：实地调研照片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_Toc10559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
            <w:spacing w:line="480" w:lineRule="exact"/>
            <w:rPr>
              <w:rFonts w:ascii="仿宋" w:hAnsi="仿宋" w:eastAsia="仿宋" w:cs="仿宋"/>
              <w:sz w:val="44"/>
              <w:szCs w:val="44"/>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sz w:val="28"/>
              <w:szCs w:val="28"/>
            </w:rPr>
            <w:fldChar w:fldCharType="end"/>
          </w:r>
        </w:p>
      </w:sdtContent>
    </w:sdt>
    <w:p>
      <w:pPr>
        <w:pStyle w:val="3"/>
        <w:keepNext w:val="0"/>
        <w:keepLines w:val="0"/>
        <w:spacing w:before="240" w:after="240" w:line="579" w:lineRule="auto"/>
        <w:jc w:val="center"/>
        <w:rPr>
          <w:rFonts w:ascii="仿宋" w:hAnsi="仿宋" w:eastAsia="仿宋" w:cs="仿宋"/>
        </w:rPr>
      </w:pPr>
      <w:bookmarkStart w:id="0" w:name="_Toc1166"/>
      <w:r>
        <w:rPr>
          <w:rFonts w:hint="eastAsia" w:ascii="仿宋" w:hAnsi="仿宋" w:eastAsia="仿宋" w:cs="仿宋"/>
        </w:rPr>
        <w:t>摘  要</w:t>
      </w:r>
      <w:bookmarkEnd w:id="0"/>
    </w:p>
    <w:p>
      <w:pPr>
        <w:spacing w:line="560" w:lineRule="exact"/>
        <w:ind w:firstLine="562" w:firstLineChars="200"/>
        <w:outlineLvl w:val="0"/>
        <w:rPr>
          <w:rFonts w:ascii="仿宋" w:hAnsi="仿宋" w:eastAsia="仿宋" w:cs="仿宋"/>
          <w:b/>
          <w:color w:val="000000"/>
          <w:sz w:val="28"/>
          <w:szCs w:val="28"/>
        </w:rPr>
      </w:pPr>
      <w:bookmarkStart w:id="1" w:name="_Toc8192"/>
      <w:bookmarkStart w:id="2" w:name="_Toc24343"/>
      <w:r>
        <w:rPr>
          <w:rFonts w:hint="eastAsia" w:ascii="仿宋" w:hAnsi="仿宋" w:eastAsia="仿宋" w:cs="仿宋"/>
          <w:b/>
          <w:color w:val="000000"/>
          <w:sz w:val="28"/>
          <w:szCs w:val="28"/>
        </w:rPr>
        <w:t>（一）概述</w:t>
      </w:r>
      <w:bookmarkEnd w:id="1"/>
      <w:bookmarkEnd w:id="2"/>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涑水河位于临猗县东侧，自东北向西南流过，流经楚侯、猗氏、牛杜、嵋阳、庙上、七级6个乡镇35个行政村，境内全长44千米，流域面积985.44平方千米。</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涑水河临猗县城区段（滞洪区）配套工程项目</w:t>
      </w:r>
      <w:r>
        <w:rPr>
          <w:rFonts w:hint="eastAsia" w:ascii="仿宋" w:hAnsi="仿宋" w:eastAsia="仿宋" w:cs="仿宋"/>
          <w:sz w:val="28"/>
          <w:szCs w:val="28"/>
        </w:rPr>
        <w:t>是在运城市涑水河重点河道治理工程基础上，进一步推进的综合性景观生态工程。该项目位于涑水河临猗县城区（沿涑水河东起209国道，西至华晋大道），全长2904米（滞洪区2078米）。东段209国道至涑水街522米，中间段（滞洪区）涑水街至新城路西侧2078米，西段新城路西侧至华晋大道304米。该项目预算总投资2,930.00万元，</w:t>
      </w:r>
      <w:r>
        <w:rPr>
          <w:rFonts w:hint="eastAsia" w:ascii="仿宋" w:hAnsi="仿宋" w:eastAsia="仿宋"/>
          <w:sz w:val="28"/>
          <w:szCs w:val="28"/>
        </w:rPr>
        <w:t>全部为县级财政资金，</w:t>
      </w:r>
      <w:r>
        <w:rPr>
          <w:rFonts w:hint="eastAsia" w:ascii="仿宋" w:hAnsi="仿宋" w:eastAsia="仿宋" w:cs="仿宋"/>
          <w:sz w:val="28"/>
          <w:szCs w:val="28"/>
        </w:rPr>
        <w:t>配套工程具体内容为：人行道铺装彩色水泥、景观工程、绿化工程、供电工程、亲水平台、河道灯带工程等。</w:t>
      </w:r>
    </w:p>
    <w:p>
      <w:pPr>
        <w:autoSpaceDE w:val="0"/>
        <w:autoSpaceDN w:val="0"/>
        <w:adjustRightInd w:val="0"/>
        <w:spacing w:line="560" w:lineRule="exact"/>
        <w:ind w:firstLine="560" w:firstLineChars="200"/>
        <w:rPr>
          <w:rFonts w:ascii="仿宋" w:hAnsi="仿宋" w:eastAsia="仿宋"/>
          <w:sz w:val="28"/>
          <w:szCs w:val="28"/>
        </w:rPr>
      </w:pPr>
      <w:bookmarkStart w:id="3" w:name="_Toc26511"/>
      <w:r>
        <w:rPr>
          <w:rFonts w:hint="eastAsia" w:ascii="仿宋" w:hAnsi="仿宋" w:eastAsia="仿宋"/>
          <w:sz w:val="28"/>
          <w:szCs w:val="28"/>
        </w:rPr>
        <w:t>本次绩效评价工作根据项目实施情况，在核实项目建设资料、财务资料的基础上，对涑水河临猗县城区段（滞洪区）配套工程进行实地勘察。重点关注工程质量、后期管护等内容，走访周边群众获取绩效评价信息。</w:t>
      </w:r>
    </w:p>
    <w:p>
      <w:pPr>
        <w:spacing w:line="560" w:lineRule="exact"/>
        <w:ind w:firstLine="562" w:firstLineChars="200"/>
        <w:outlineLvl w:val="0"/>
        <w:rPr>
          <w:rFonts w:ascii="仿宋" w:hAnsi="仿宋" w:eastAsia="仿宋" w:cs="仿宋"/>
          <w:b/>
          <w:color w:val="000000"/>
          <w:sz w:val="28"/>
          <w:szCs w:val="28"/>
        </w:rPr>
      </w:pPr>
      <w:bookmarkStart w:id="4" w:name="_Toc5148"/>
      <w:r>
        <w:rPr>
          <w:rFonts w:hint="eastAsia" w:ascii="仿宋" w:hAnsi="仿宋" w:eastAsia="仿宋" w:cs="仿宋"/>
          <w:b/>
          <w:color w:val="000000"/>
          <w:sz w:val="28"/>
          <w:szCs w:val="28"/>
        </w:rPr>
        <w:t>（二）评价结论</w:t>
      </w:r>
      <w:bookmarkEnd w:id="3"/>
      <w:bookmarkEnd w:id="4"/>
    </w:p>
    <w:p>
      <w:pPr>
        <w:pStyle w:val="17"/>
        <w:snapToGrid w:val="0"/>
        <w:spacing w:before="0" w:after="0" w:line="560" w:lineRule="exact"/>
        <w:ind w:firstLine="560"/>
        <w:rPr>
          <w:rFonts w:ascii="仿宋" w:hAnsi="仿宋" w:eastAsia="仿宋" w:cs="仿宋"/>
          <w:b w:val="0"/>
        </w:rPr>
      </w:pPr>
      <w:r>
        <w:rPr>
          <w:rFonts w:hint="eastAsia" w:ascii="仿宋" w:hAnsi="仿宋" w:eastAsia="仿宋" w:cs="仿宋"/>
          <w:b w:val="0"/>
        </w:rPr>
        <w:t>经项目组评价，本项目得分为79.34分，绩效评价等级为中。具体得分情况如下表所示：</w:t>
      </w:r>
    </w:p>
    <w:p>
      <w:pPr>
        <w:pStyle w:val="18"/>
        <w:spacing w:line="360" w:lineRule="auto"/>
        <w:rPr>
          <w:rFonts w:ascii="仿宋" w:hAnsi="仿宋" w:eastAsia="仿宋" w:cs="仿宋"/>
          <w:sz w:val="28"/>
        </w:rPr>
      </w:pPr>
      <w:r>
        <w:rPr>
          <w:rFonts w:hint="eastAsia" w:ascii="仿宋" w:hAnsi="仿宋" w:eastAsia="仿宋" w:cs="仿宋"/>
          <w:sz w:val="28"/>
        </w:rPr>
        <w:t>项目绩效评价得分表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75"/>
        <w:gridCol w:w="1455"/>
        <w:gridCol w:w="1395"/>
        <w:gridCol w:w="153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1185" w:type="dxa"/>
            <w:tcBorders>
              <w:bottom w:val="single" w:color="auto" w:sz="4" w:space="0"/>
            </w:tcBorders>
            <w:shd w:val="clear" w:color="auto" w:fill="FFFFFF"/>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指标</w:t>
            </w:r>
          </w:p>
        </w:tc>
        <w:tc>
          <w:tcPr>
            <w:tcW w:w="1575" w:type="dxa"/>
            <w:tcBorders>
              <w:bottom w:val="single" w:color="auto" w:sz="4" w:space="0"/>
            </w:tcBorders>
            <w:shd w:val="clear" w:color="auto" w:fill="FFFFFF"/>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A项目决策</w:t>
            </w:r>
          </w:p>
        </w:tc>
        <w:tc>
          <w:tcPr>
            <w:tcW w:w="1455" w:type="dxa"/>
            <w:tcBorders>
              <w:bottom w:val="single" w:color="auto" w:sz="4" w:space="0"/>
            </w:tcBorders>
            <w:shd w:val="clear" w:color="auto" w:fill="FFFFFF"/>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B项目过程</w:t>
            </w:r>
          </w:p>
        </w:tc>
        <w:tc>
          <w:tcPr>
            <w:tcW w:w="1395" w:type="dxa"/>
            <w:tcBorders>
              <w:bottom w:val="single" w:color="auto" w:sz="4" w:space="0"/>
            </w:tcBorders>
            <w:shd w:val="clear" w:color="auto" w:fill="FFFFFF"/>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C项目产出</w:t>
            </w:r>
          </w:p>
        </w:tc>
        <w:tc>
          <w:tcPr>
            <w:tcW w:w="1533" w:type="dxa"/>
            <w:tcBorders>
              <w:bottom w:val="single" w:color="auto" w:sz="4" w:space="0"/>
            </w:tcBorders>
            <w:shd w:val="clear" w:color="auto" w:fill="FFFFFF"/>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D项目效益</w:t>
            </w:r>
          </w:p>
        </w:tc>
        <w:tc>
          <w:tcPr>
            <w:tcW w:w="1377" w:type="dxa"/>
            <w:tcBorders>
              <w:bottom w:val="single" w:color="auto" w:sz="4" w:space="0"/>
            </w:tcBorders>
            <w:shd w:val="clear" w:color="auto" w:fill="FFFFFF"/>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标准分值</w:t>
            </w:r>
          </w:p>
        </w:tc>
        <w:tc>
          <w:tcPr>
            <w:tcW w:w="157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39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533"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377"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实际得分</w:t>
            </w:r>
          </w:p>
        </w:tc>
        <w:tc>
          <w:tcPr>
            <w:tcW w:w="157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15</w:t>
            </w:r>
          </w:p>
        </w:tc>
        <w:tc>
          <w:tcPr>
            <w:tcW w:w="139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21</w:t>
            </w:r>
          </w:p>
        </w:tc>
        <w:tc>
          <w:tcPr>
            <w:tcW w:w="1533"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23.34</w:t>
            </w:r>
          </w:p>
        </w:tc>
        <w:tc>
          <w:tcPr>
            <w:tcW w:w="1377"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noWrap/>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得分率</w:t>
            </w:r>
          </w:p>
        </w:tc>
        <w:tc>
          <w:tcPr>
            <w:tcW w:w="157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100.00%</w:t>
            </w:r>
          </w:p>
        </w:tc>
        <w:tc>
          <w:tcPr>
            <w:tcW w:w="1455"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75.00%</w:t>
            </w:r>
          </w:p>
        </w:tc>
        <w:tc>
          <w:tcPr>
            <w:tcW w:w="1395" w:type="dxa"/>
            <w:noWrap/>
            <w:vAlign w:val="center"/>
          </w:tcPr>
          <w:p>
            <w:pPr>
              <w:pStyle w:val="18"/>
              <w:adjustRightInd w:val="0"/>
              <w:snapToGrid w:val="0"/>
              <w:spacing w:before="0" w:after="0"/>
              <w:ind w:firstLine="240" w:firstLineChars="100"/>
              <w:jc w:val="both"/>
              <w:rPr>
                <w:rFonts w:ascii="仿宋" w:hAnsi="仿宋" w:eastAsia="仿宋" w:cs="仿宋"/>
                <w:b w:val="0"/>
                <w:szCs w:val="24"/>
              </w:rPr>
            </w:pPr>
            <w:r>
              <w:rPr>
                <w:rFonts w:hint="eastAsia" w:ascii="仿宋" w:hAnsi="仿宋" w:eastAsia="仿宋" w:cs="仿宋"/>
                <w:b w:val="0"/>
                <w:szCs w:val="24"/>
              </w:rPr>
              <w:t>70.00%</w:t>
            </w:r>
          </w:p>
        </w:tc>
        <w:tc>
          <w:tcPr>
            <w:tcW w:w="1533"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77.80%</w:t>
            </w:r>
          </w:p>
        </w:tc>
        <w:tc>
          <w:tcPr>
            <w:tcW w:w="1377" w:type="dxa"/>
            <w:noWrap/>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79.34%</w:t>
            </w:r>
          </w:p>
        </w:tc>
      </w:tr>
    </w:tbl>
    <w:p>
      <w:pPr>
        <w:spacing w:line="560" w:lineRule="exact"/>
        <w:ind w:firstLine="562" w:firstLineChars="200"/>
        <w:outlineLvl w:val="0"/>
        <w:rPr>
          <w:rFonts w:ascii="仿宋" w:hAnsi="仿宋" w:eastAsia="仿宋" w:cs="仿宋"/>
          <w:b/>
          <w:color w:val="000000"/>
          <w:sz w:val="28"/>
          <w:szCs w:val="28"/>
        </w:rPr>
      </w:pPr>
      <w:bookmarkStart w:id="5" w:name="_Toc29511"/>
      <w:bookmarkStart w:id="6" w:name="_Toc12002"/>
      <w:r>
        <w:rPr>
          <w:rFonts w:hint="eastAsia" w:ascii="仿宋" w:hAnsi="仿宋" w:eastAsia="仿宋" w:cs="仿宋"/>
          <w:b/>
          <w:color w:val="000000"/>
          <w:sz w:val="28"/>
          <w:szCs w:val="28"/>
        </w:rPr>
        <w:t>（三）主要做法</w:t>
      </w:r>
      <w:bookmarkEnd w:id="5"/>
      <w:bookmarkEnd w:id="6"/>
    </w:p>
    <w:p>
      <w:pPr>
        <w:spacing w:line="560" w:lineRule="exact"/>
        <w:ind w:firstLine="560" w:firstLineChars="200"/>
        <w:rPr>
          <w:rFonts w:ascii="仿宋" w:hAnsi="仿宋" w:eastAsia="仿宋" w:cs="仿宋"/>
          <w:bCs/>
          <w:sz w:val="28"/>
          <w:szCs w:val="28"/>
        </w:rPr>
      </w:pPr>
      <w:r>
        <w:rPr>
          <w:rFonts w:hint="eastAsia" w:ascii="仿宋" w:hAnsi="仿宋" w:eastAsia="仿宋" w:cs="仿宋"/>
          <w:sz w:val="28"/>
          <w:szCs w:val="28"/>
        </w:rPr>
        <w:t>为充分发挥滞洪区的调蓄功能，实现生态效益和社会效益最大化，成立了“临猗县涑水河城区治洪配套工程项目部”，主管部门为临猗县水务局，项目部下设工程组、质检组、财务组、宣传组，</w:t>
      </w:r>
      <w:r>
        <w:rPr>
          <w:rFonts w:hint="eastAsia" w:ascii="仿宋" w:hAnsi="仿宋" w:eastAsia="仿宋" w:cs="仿宋"/>
          <w:bCs/>
          <w:sz w:val="28"/>
          <w:szCs w:val="28"/>
        </w:rPr>
        <w:t>将工作任务落实到各小组及相关责任人员，确保责任到人，保证各项工作有序推进、顺利实施。</w:t>
      </w:r>
    </w:p>
    <w:p>
      <w:pPr>
        <w:spacing w:line="560" w:lineRule="exact"/>
        <w:ind w:firstLine="562" w:firstLineChars="200"/>
        <w:outlineLvl w:val="0"/>
        <w:rPr>
          <w:rFonts w:ascii="仿宋" w:hAnsi="仿宋" w:eastAsia="仿宋" w:cs="仿宋"/>
          <w:b/>
          <w:color w:val="000000"/>
          <w:sz w:val="28"/>
          <w:szCs w:val="28"/>
        </w:rPr>
      </w:pPr>
      <w:bookmarkStart w:id="7" w:name="_Toc18622"/>
      <w:bookmarkStart w:id="8" w:name="_Toc23039"/>
      <w:r>
        <w:rPr>
          <w:rFonts w:hint="eastAsia" w:ascii="仿宋" w:hAnsi="仿宋" w:eastAsia="仿宋" w:cs="仿宋"/>
          <w:b/>
          <w:color w:val="000000"/>
          <w:sz w:val="28"/>
          <w:szCs w:val="28"/>
        </w:rPr>
        <w:t>（四）存在的问题及建议</w:t>
      </w:r>
      <w:bookmarkEnd w:id="7"/>
      <w:bookmarkEnd w:id="8"/>
    </w:p>
    <w:p>
      <w:pPr>
        <w:spacing w:line="560" w:lineRule="exact"/>
        <w:ind w:firstLine="560" w:firstLineChars="200"/>
        <w:rPr>
          <w:rFonts w:ascii="仿宋" w:hAnsi="仿宋" w:eastAsia="仿宋"/>
          <w:sz w:val="28"/>
          <w:szCs w:val="28"/>
        </w:rPr>
      </w:pPr>
      <w:r>
        <w:rPr>
          <w:rFonts w:hint="eastAsia" w:ascii="仿宋" w:hAnsi="仿宋" w:eastAsia="仿宋"/>
          <w:sz w:val="28"/>
          <w:szCs w:val="28"/>
        </w:rPr>
        <w:t>1、受各种原因制约，工程进度缓慢，具体为：</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由于该项目为涑水河治理工程的配套工程，工程进度受涑水河治理工程影响较大。该项目自2019年7月开始与运城涑水河治理工程交叉进行，至2020年5月方才开始进行全面施工，截止2021年8月仅完成供电工程、建筑工程、景观工程、路灯安装及喷灌工程项目，道路工程、绿化工程项目尚未完工，无法进行工程验收及决算审计，不能及时投入使用。</w:t>
      </w:r>
    </w:p>
    <w:p>
      <w:pPr>
        <w:spacing w:line="560" w:lineRule="exact"/>
        <w:ind w:firstLine="560" w:firstLineChars="200"/>
        <w:rPr>
          <w:rFonts w:ascii="仿宋" w:hAnsi="仿宋" w:eastAsia="仿宋"/>
          <w:bCs/>
          <w:sz w:val="28"/>
          <w:szCs w:val="28"/>
        </w:rPr>
      </w:pPr>
      <w:r>
        <w:rPr>
          <w:rFonts w:hint="eastAsia" w:ascii="仿宋" w:hAnsi="仿宋" w:eastAsia="仿宋"/>
          <w:sz w:val="28"/>
          <w:szCs w:val="28"/>
        </w:rPr>
        <w:t>建议：</w:t>
      </w:r>
      <w:r>
        <w:rPr>
          <w:rFonts w:hint="eastAsia" w:ascii="仿宋" w:hAnsi="仿宋" w:eastAsia="仿宋" w:cs="仿宋"/>
          <w:sz w:val="28"/>
          <w:szCs w:val="28"/>
        </w:rPr>
        <w:t>临猗县水务局需</w:t>
      </w:r>
      <w:r>
        <w:rPr>
          <w:rFonts w:hint="eastAsia" w:ascii="仿宋" w:hAnsi="仿宋" w:eastAsia="仿宋" w:cs="仿宋"/>
          <w:kern w:val="0"/>
          <w:sz w:val="28"/>
          <w:szCs w:val="28"/>
        </w:rPr>
        <w:t>督促施工、监理单位，</w:t>
      </w:r>
      <w:r>
        <w:rPr>
          <w:rFonts w:hint="eastAsia" w:ascii="仿宋" w:hAnsi="仿宋" w:eastAsia="仿宋"/>
          <w:sz w:val="28"/>
          <w:szCs w:val="28"/>
        </w:rPr>
        <w:t>高度重视项目推进工作，倒排工期、督促项目承建方抓紧时间及早施工，克服该项目存在的客观困难，在保证质量的前提下尽早完工，及时办理竣工验收手续，确保项目早日完工、投入使用，更好的发挥财政资金使用效益。</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2、项目推动不力，监督考核激励机制不到位</w:t>
      </w:r>
      <w:r>
        <w:rPr>
          <w:rFonts w:hint="eastAsia" w:ascii="仿宋" w:hAnsi="仿宋" w:eastAsia="仿宋"/>
          <w:color w:val="000000"/>
          <w:sz w:val="28"/>
          <w:szCs w:val="28"/>
        </w:rPr>
        <w:t>。</w:t>
      </w:r>
      <w:r>
        <w:rPr>
          <w:rFonts w:hint="eastAsia" w:ascii="仿宋" w:hAnsi="仿宋" w:eastAsia="仿宋" w:cs="仿宋"/>
          <w:sz w:val="28"/>
          <w:szCs w:val="28"/>
        </w:rPr>
        <w:t>临猗县水利局虽派专人前去现场督导检查，但由于缺乏监督考核制度，业务执行缺乏制度制约，工程工期管理工作不到位。</w:t>
      </w:r>
      <w:r>
        <w:rPr>
          <w:rFonts w:hint="eastAsia" w:ascii="仿宋" w:hAnsi="仿宋" w:eastAsia="仿宋"/>
          <w:sz w:val="28"/>
          <w:szCs w:val="28"/>
        </w:rPr>
        <w:t>无成文的</w:t>
      </w:r>
      <w:bookmarkStart w:id="87" w:name="_GoBack"/>
      <w:bookmarkEnd w:id="87"/>
      <w:r>
        <w:rPr>
          <w:rFonts w:hint="eastAsia" w:ascii="仿宋" w:hAnsi="仿宋" w:eastAsia="仿宋"/>
          <w:sz w:val="28"/>
          <w:szCs w:val="28"/>
          <w:lang w:eastAsia="zh-CN"/>
        </w:rPr>
        <w:t>会议记录</w:t>
      </w:r>
      <w:r>
        <w:rPr>
          <w:rFonts w:hint="eastAsia" w:ascii="仿宋" w:hAnsi="仿宋" w:eastAsia="仿宋"/>
          <w:sz w:val="28"/>
          <w:szCs w:val="28"/>
        </w:rPr>
        <w:t>、重点环节监督记录、工程整改记录等资料，</w:t>
      </w:r>
      <w:r>
        <w:rPr>
          <w:rFonts w:hint="eastAsia" w:ascii="仿宋" w:hAnsi="仿宋" w:eastAsia="仿宋" w:cs="仿宋"/>
          <w:sz w:val="28"/>
          <w:szCs w:val="28"/>
        </w:rPr>
        <w:t>无法有效发挥项目督导检查的作用。</w:t>
      </w:r>
    </w:p>
    <w:p>
      <w:pPr>
        <w:spacing w:line="560" w:lineRule="exact"/>
        <w:ind w:firstLine="560" w:firstLineChars="200"/>
        <w:rPr>
          <w:rFonts w:ascii="仿宋" w:hAnsi="仿宋" w:eastAsia="仿宋" w:cs="仿宋"/>
          <w:kern w:val="0"/>
          <w:sz w:val="28"/>
          <w:szCs w:val="28"/>
        </w:rPr>
      </w:pPr>
      <w:r>
        <w:rPr>
          <w:rFonts w:hint="eastAsia" w:ascii="仿宋" w:hAnsi="仿宋" w:eastAsia="仿宋"/>
          <w:sz w:val="28"/>
          <w:szCs w:val="28"/>
        </w:rPr>
        <w:t>建议：项目单位</w:t>
      </w:r>
      <w:r>
        <w:rPr>
          <w:rFonts w:hint="eastAsia" w:ascii="仿宋" w:hAnsi="仿宋" w:eastAsia="仿宋" w:cs="仿宋"/>
          <w:kern w:val="0"/>
          <w:sz w:val="28"/>
          <w:szCs w:val="28"/>
        </w:rPr>
        <w:t>应加强对项目实施的监督检查工作，具体为：在对施工单位进行检查时，保存纸质检查记录、整改意见及回复等资料并及时归档；督促施工单位及监理单位根据《建设项目档案管理规范》的要求，及时提交完整的施工和监理文件；监理单位要认真登记监理日志，遇到问题及时上报项目建设单位。</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3、项目质量存在瑕疵，设备管理不到位，具体为：</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（1）经</w:t>
      </w:r>
      <w:r>
        <w:rPr>
          <w:rFonts w:hint="eastAsia" w:ascii="仿宋" w:hAnsi="仿宋" w:eastAsia="仿宋" w:cs="仿宋"/>
          <w:sz w:val="28"/>
          <w:szCs w:val="28"/>
        </w:rPr>
        <w:t>评价组现场勘察，白玉栏杆质量存在瑕疵，有划痕、掉块现象，粘接处胶水涂抹和打磨痕迹明显。</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（2）河道两旁绿化工程质量不佳，苗木栽植成活率低，存在枯死，草坪中杂草丛生，整体美观效果较差。</w:t>
      </w:r>
    </w:p>
    <w:p>
      <w:pPr>
        <w:spacing w:line="560" w:lineRule="exact"/>
        <w:ind w:firstLine="560" w:firstLineChars="200"/>
      </w:pPr>
      <w:r>
        <w:rPr>
          <w:rFonts w:hint="eastAsia" w:ascii="仿宋" w:hAnsi="仿宋" w:eastAsia="仿宋" w:cs="仿宋"/>
          <w:sz w:val="28"/>
          <w:szCs w:val="28"/>
        </w:rPr>
        <w:t>（3）监控设备未安装到位，导致附近路段发生盗窃抢劫案、造成公厕设备被盗。</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建议：临猗县水务局应要求施工方对存在瑕疵的栏杆进行修复，必要时对栏杆进行更换。</w:t>
      </w:r>
      <w:r>
        <w:rPr>
          <w:rFonts w:hint="eastAsia" w:ascii="仿宋" w:hAnsi="仿宋" w:eastAsia="仿宋" w:cs="仿宋"/>
          <w:sz w:val="28"/>
          <w:szCs w:val="28"/>
        </w:rPr>
        <w:t>对存活率较低的苗木应采取措施，扣减相应工程款或要求施工方进行补栽。</w:t>
      </w:r>
      <w:r>
        <w:rPr>
          <w:rFonts w:hint="eastAsia" w:ascii="仿宋" w:hAnsi="仿宋" w:eastAsia="仿宋"/>
          <w:sz w:val="28"/>
          <w:szCs w:val="28"/>
        </w:rPr>
        <w:t>严格按照工程规范要求进行验收，确保工程建设质量。做好项目设施移交工作，项目接收单位需加强项目后期管护工作；</w:t>
      </w:r>
      <w:r>
        <w:rPr>
          <w:rFonts w:hint="eastAsia" w:ascii="仿宋" w:hAnsi="仿宋" w:eastAsia="仿宋" w:cs="仿宋"/>
          <w:sz w:val="28"/>
          <w:szCs w:val="28"/>
        </w:rPr>
        <w:t>尽快安装监控设备，保障设施安全，避免盗抢事件发生。</w:t>
      </w:r>
    </w:p>
    <w:p>
      <w:pPr>
        <w:spacing w:line="560" w:lineRule="exact"/>
        <w:ind w:firstLine="560" w:firstLineChars="200"/>
        <w:rPr>
          <w:rFonts w:ascii="仿宋" w:hAnsi="仿宋" w:eastAsia="仿宋" w:cs="宋体"/>
          <w:color w:val="000000"/>
          <w:spacing w:val="-2"/>
          <w:sz w:val="28"/>
          <w:szCs w:val="28"/>
          <w:shd w:val="clear" w:color="auto" w:fill="FFFFFF"/>
        </w:rPr>
      </w:pPr>
      <w:r>
        <w:rPr>
          <w:rFonts w:hint="eastAsia" w:ascii="仿宋" w:hAnsi="仿宋" w:eastAsia="仿宋" w:cs="仿宋"/>
          <w:sz w:val="28"/>
          <w:szCs w:val="28"/>
        </w:rPr>
        <w:t>4、临猗县水务局“涑水河临猗县城区段（滞洪区）配套工程”项目</w:t>
      </w:r>
      <w:r>
        <w:rPr>
          <w:rFonts w:hint="eastAsia" w:ascii="仿宋" w:hAnsi="仿宋" w:eastAsia="仿宋" w:cs="宋体"/>
          <w:color w:val="000000"/>
          <w:spacing w:val="-2"/>
          <w:sz w:val="28"/>
          <w:szCs w:val="28"/>
          <w:shd w:val="clear" w:color="auto" w:fill="FFFFFF"/>
        </w:rPr>
        <w:t>资金预算编报不严谨，未按工程实施进度申请预算资金，造成财政资金闲置。</w:t>
      </w:r>
    </w:p>
    <w:p>
      <w:pPr>
        <w:adjustRightInd w:val="0"/>
        <w:snapToGrid w:val="0"/>
        <w:spacing w:line="560" w:lineRule="exact"/>
        <w:ind w:firstLine="548" w:firstLineChars="196"/>
        <w:rPr>
          <w:rFonts w:ascii="仿宋" w:hAnsi="仿宋" w:eastAsia="仿宋" w:cs="仿宋"/>
          <w:sz w:val="28"/>
          <w:szCs w:val="28"/>
        </w:rPr>
      </w:pPr>
      <w:r>
        <w:rPr>
          <w:rFonts w:hint="eastAsia" w:ascii="仿宋" w:hAnsi="仿宋" w:eastAsia="仿宋" w:cs="仿宋"/>
          <w:kern w:val="0"/>
          <w:sz w:val="28"/>
          <w:szCs w:val="28"/>
        </w:rPr>
        <w:t>经核实，涑水河临猗县城区段（滞洪区）配套工程项目</w:t>
      </w:r>
      <w:r>
        <w:rPr>
          <w:rFonts w:hint="eastAsia" w:ascii="仿宋" w:hAnsi="仿宋" w:eastAsia="仿宋" w:cs="仿宋"/>
          <w:sz w:val="28"/>
          <w:szCs w:val="28"/>
        </w:rPr>
        <w:t>财政资金共到位</w:t>
      </w:r>
      <w:r>
        <w:rPr>
          <w:rFonts w:hint="eastAsia" w:ascii="仿宋" w:hAnsi="仿宋" w:eastAsia="仿宋"/>
          <w:sz w:val="28"/>
          <w:szCs w:val="28"/>
        </w:rPr>
        <w:t>18,595,000.00</w:t>
      </w:r>
      <w:r>
        <w:rPr>
          <w:rFonts w:hint="eastAsia" w:ascii="仿宋" w:hAnsi="仿宋" w:eastAsia="仿宋" w:cs="仿宋"/>
          <w:kern w:val="0"/>
          <w:sz w:val="28"/>
          <w:szCs w:val="28"/>
        </w:rPr>
        <w:t>元</w:t>
      </w:r>
      <w:r>
        <w:rPr>
          <w:rFonts w:hint="eastAsia" w:ascii="仿宋" w:hAnsi="仿宋" w:eastAsia="仿宋" w:cs="仿宋"/>
          <w:sz w:val="28"/>
          <w:szCs w:val="28"/>
        </w:rPr>
        <w:t>，截止2021年8月已支付14,745,743.10元，结余资金3,849,256.90元。资金结余主要原因为：项目单位按工程预计总资金向财政申请资金额度，但由于部分工程未完工，导致资金无法支付，造成预算资金结余。</w:t>
      </w:r>
    </w:p>
    <w:p>
      <w:pPr>
        <w:spacing w:line="560" w:lineRule="exact"/>
        <w:ind w:firstLine="560" w:firstLineChars="200"/>
        <w:rPr>
          <w:rFonts w:ascii="仿宋" w:hAnsi="仿宋" w:eastAsia="仿宋"/>
          <w:sz w:val="28"/>
          <w:szCs w:val="28"/>
        </w:rPr>
      </w:pPr>
      <w:r>
        <w:rPr>
          <w:rFonts w:hint="eastAsia" w:ascii="仿宋" w:hAnsi="仿宋" w:eastAsia="仿宋" w:cs="仿宋"/>
          <w:sz w:val="28"/>
          <w:szCs w:val="28"/>
        </w:rPr>
        <w:t>建议：临猗县水务局要</w:t>
      </w:r>
      <w:r>
        <w:rPr>
          <w:rFonts w:hint="eastAsia" w:ascii="仿宋" w:hAnsi="仿宋" w:eastAsia="仿宋"/>
          <w:sz w:val="28"/>
          <w:szCs w:val="28"/>
        </w:rPr>
        <w:t>重视项目资金预算申报工作，预算编制力求精细规范。对于专项支出项目，根据投资预算、资金使用计划结合项目进度提出用款申请，并报县财政部门审核，改变原一次性申报全部预算资金的做法。</w:t>
      </w:r>
    </w:p>
    <w:p>
      <w:pPr>
        <w:spacing w:line="560" w:lineRule="exact"/>
        <w:ind w:firstLine="560" w:firstLineChars="200"/>
        <w:rPr>
          <w:rFonts w:ascii="仿宋" w:hAnsi="仿宋" w:eastAsia="仿宋" w:cs="仿宋"/>
          <w:sz w:val="28"/>
          <w:szCs w:val="28"/>
        </w:rPr>
      </w:pPr>
    </w:p>
    <w:p>
      <w:pPr>
        <w:spacing w:line="560" w:lineRule="exact"/>
        <w:ind w:firstLine="560" w:firstLineChars="200"/>
        <w:rPr>
          <w:rFonts w:ascii="仿宋" w:hAnsi="仿宋" w:eastAsia="仿宋" w:cs="仿宋"/>
          <w:sz w:val="28"/>
          <w:szCs w:val="28"/>
        </w:rPr>
      </w:pPr>
    </w:p>
    <w:p/>
    <w:p>
      <w:pPr>
        <w:pStyle w:val="2"/>
      </w:pPr>
    </w:p>
    <w:p/>
    <w:p>
      <w:pPr>
        <w:pStyle w:val="2"/>
      </w:pPr>
    </w:p>
    <w:p/>
    <w:p>
      <w:pPr>
        <w:pStyle w:val="2"/>
      </w:pPr>
    </w:p>
    <w:p/>
    <w:p>
      <w:pPr>
        <w:pStyle w:val="2"/>
      </w:pPr>
    </w:p>
    <w:p/>
    <w:p/>
    <w:p/>
    <w:p>
      <w:pPr>
        <w:pStyle w:val="2"/>
      </w:pPr>
    </w:p>
    <w:p>
      <w:pPr>
        <w:jc w:val="center"/>
        <w:outlineLvl w:val="0"/>
        <w:rPr>
          <w:rFonts w:ascii="仿宋" w:hAnsi="仿宋" w:eastAsia="仿宋"/>
          <w:b/>
          <w:bCs/>
          <w:sz w:val="30"/>
          <w:szCs w:val="30"/>
        </w:rPr>
      </w:pPr>
      <w:bookmarkStart w:id="9" w:name="_Toc11145"/>
      <w:r>
        <w:rPr>
          <w:rFonts w:hint="eastAsia" w:ascii="仿宋" w:hAnsi="仿宋" w:eastAsia="仿宋"/>
          <w:b/>
          <w:bCs/>
          <w:sz w:val="30"/>
          <w:szCs w:val="30"/>
        </w:rPr>
        <w:t>评价机构：山西高盛新会计师事务所有限公司</w:t>
      </w:r>
      <w:bookmarkEnd w:id="9"/>
    </w:p>
    <w:p>
      <w:pPr>
        <w:ind w:firstLine="3451" w:firstLineChars="1146"/>
        <w:rPr>
          <w:rFonts w:ascii="仿宋" w:hAnsi="仿宋" w:eastAsia="仿宋"/>
          <w:b/>
          <w:bCs/>
          <w:sz w:val="30"/>
          <w:szCs w:val="30"/>
        </w:rPr>
      </w:pPr>
    </w:p>
    <w:p>
      <w:pPr>
        <w:ind w:firstLine="1205" w:firstLineChars="400"/>
        <w:outlineLvl w:val="1"/>
        <w:rPr>
          <w:rFonts w:ascii="仿宋" w:hAnsi="仿宋" w:eastAsia="仿宋"/>
          <w:b/>
          <w:bCs/>
          <w:sz w:val="30"/>
          <w:szCs w:val="30"/>
        </w:rPr>
      </w:pPr>
      <w:bookmarkStart w:id="10" w:name="_Toc11960"/>
      <w:r>
        <w:rPr>
          <w:rFonts w:hint="eastAsia" w:ascii="仿宋" w:hAnsi="仿宋" w:eastAsia="仿宋"/>
          <w:b/>
          <w:bCs/>
          <w:sz w:val="30"/>
          <w:szCs w:val="30"/>
        </w:rPr>
        <w:t>主评人：</w:t>
      </w:r>
      <w:bookmarkEnd w:id="10"/>
    </w:p>
    <w:p>
      <w:pPr>
        <w:jc w:val="center"/>
        <w:rPr>
          <w:rFonts w:ascii="仿宋" w:hAnsi="仿宋" w:eastAsia="仿宋"/>
          <w:b/>
          <w:bCs/>
          <w:sz w:val="30"/>
          <w:szCs w:val="30"/>
        </w:rPr>
      </w:pPr>
    </w:p>
    <w:p>
      <w:pPr>
        <w:jc w:val="center"/>
        <w:rPr>
          <w:rFonts w:ascii="仿宋" w:hAnsi="仿宋" w:eastAsia="仿宋"/>
          <w:b/>
          <w:bCs/>
          <w:sz w:val="30"/>
          <w:szCs w:val="30"/>
        </w:rPr>
      </w:pPr>
    </w:p>
    <w:p>
      <w:pPr>
        <w:sectPr>
          <w:footerReference r:id="rId5" w:type="default"/>
          <w:pgSz w:w="11906" w:h="16838"/>
          <w:pgMar w:top="1440" w:right="1800" w:bottom="1440" w:left="1800" w:header="851" w:footer="992" w:gutter="0"/>
          <w:pgNumType w:start="1"/>
          <w:cols w:space="425" w:num="1"/>
          <w:docGrid w:type="lines" w:linePitch="312" w:charSpace="0"/>
        </w:sectPr>
      </w:pPr>
    </w:p>
    <w:p>
      <w:pPr>
        <w:pStyle w:val="3"/>
        <w:keepNext w:val="0"/>
        <w:keepLines w:val="0"/>
        <w:spacing w:before="0" w:after="0" w:line="240" w:lineRule="auto"/>
        <w:jc w:val="center"/>
        <w:rPr>
          <w:rFonts w:ascii="仿宋" w:hAnsi="仿宋" w:eastAsia="仿宋" w:cs="仿宋"/>
          <w:sz w:val="32"/>
          <w:szCs w:val="32"/>
        </w:rPr>
      </w:pPr>
      <w:bookmarkStart w:id="11" w:name="_Toc22854"/>
      <w:bookmarkStart w:id="12" w:name="_Toc11384"/>
      <w:bookmarkStart w:id="13" w:name="_Toc30011"/>
      <w:r>
        <w:rPr>
          <w:rFonts w:hint="eastAsia" w:ascii="仿宋" w:hAnsi="仿宋" w:eastAsia="仿宋" w:cs="仿宋"/>
          <w:sz w:val="32"/>
          <w:szCs w:val="32"/>
        </w:rPr>
        <w:t>绩效评价报告</w:t>
      </w:r>
      <w:bookmarkEnd w:id="11"/>
      <w:bookmarkEnd w:id="12"/>
      <w:bookmarkEnd w:id="13"/>
    </w:p>
    <w:p>
      <w:pPr>
        <w:spacing w:line="560" w:lineRule="exact"/>
        <w:jc w:val="left"/>
        <w:rPr>
          <w:rFonts w:ascii="仿宋" w:hAnsi="仿宋" w:eastAsia="仿宋" w:cs="仿宋"/>
          <w:sz w:val="28"/>
          <w:szCs w:val="28"/>
        </w:rPr>
      </w:pPr>
      <w:r>
        <w:rPr>
          <w:rFonts w:hint="eastAsia" w:ascii="仿宋" w:hAnsi="仿宋" w:eastAsia="仿宋" w:cs="仿宋"/>
          <w:sz w:val="28"/>
          <w:szCs w:val="28"/>
        </w:rPr>
        <w:t>临猗县财政局：</w:t>
      </w:r>
    </w:p>
    <w:p>
      <w:pPr>
        <w:tabs>
          <w:tab w:val="left" w:pos="1182"/>
        </w:tabs>
        <w:spacing w:line="560" w:lineRule="exact"/>
        <w:ind w:firstLine="560" w:firstLineChars="200"/>
        <w:rPr>
          <w:rFonts w:asciiTheme="majorEastAsia" w:hAnsiTheme="majorEastAsia" w:eastAsiaTheme="majorEastAsia"/>
          <w:b/>
          <w:bCs/>
          <w:kern w:val="44"/>
          <w:sz w:val="44"/>
          <w:szCs w:val="44"/>
        </w:rPr>
      </w:pPr>
      <w:r>
        <w:rPr>
          <w:rFonts w:hint="eastAsia" w:ascii="仿宋" w:hAnsi="仿宋" w:eastAsia="仿宋" w:cs="仿宋"/>
          <w:sz w:val="28"/>
          <w:szCs w:val="28"/>
        </w:rPr>
        <w:t>我们接受委托，于2021年8月25日至2021年9月24日对涑水河临猗县城区段（滞洪区）配套工程项目进行了绩效评价。</w:t>
      </w:r>
      <w:bookmarkStart w:id="14" w:name="_Toc2406"/>
      <w:r>
        <w:rPr>
          <w:rFonts w:hint="eastAsia" w:ascii="仿宋" w:hAnsi="仿宋" w:eastAsia="仿宋" w:cs="仿宋"/>
          <w:sz w:val="28"/>
          <w:szCs w:val="28"/>
        </w:rPr>
        <w:t>根据财政部《项目支出绩效评价管理办法》（</w:t>
      </w:r>
      <w:r>
        <w:rPr>
          <w:rFonts w:hint="eastAsia" w:ascii="仿宋" w:hAnsi="仿宋" w:eastAsia="仿宋" w:cs="仿宋"/>
          <w:kern w:val="0"/>
          <w:sz w:val="28"/>
          <w:szCs w:val="28"/>
        </w:rPr>
        <w:t>财预〔2020〕10号</w:t>
      </w:r>
      <w:r>
        <w:rPr>
          <w:rFonts w:hint="eastAsia" w:ascii="仿宋" w:hAnsi="仿宋" w:eastAsia="仿宋" w:cs="仿宋"/>
          <w:sz w:val="28"/>
          <w:szCs w:val="28"/>
        </w:rPr>
        <w:t>）文件的精神和相关要求，我们按照绩效评价工作方案确定了评价指标、评价标准和评价方法，对评价对象的绩效情况进行全面的定量定性分析和综合评价，形成了本报告。</w:t>
      </w:r>
    </w:p>
    <w:p>
      <w:pPr>
        <w:ind w:firstLine="602" w:firstLineChars="200"/>
        <w:outlineLvl w:val="0"/>
        <w:rPr>
          <w:rFonts w:ascii="仿宋" w:hAnsi="仿宋" w:eastAsia="仿宋" w:cs="仿宋"/>
          <w:b/>
          <w:sz w:val="30"/>
          <w:szCs w:val="30"/>
        </w:rPr>
      </w:pPr>
      <w:bookmarkStart w:id="15" w:name="_Toc4418"/>
      <w:r>
        <w:rPr>
          <w:rFonts w:hint="eastAsia" w:ascii="仿宋" w:hAnsi="仿宋" w:eastAsia="仿宋" w:cs="仿宋"/>
          <w:b/>
          <w:sz w:val="30"/>
          <w:szCs w:val="30"/>
        </w:rPr>
        <w:t>一、项目基本情况</w:t>
      </w:r>
      <w:bookmarkEnd w:id="14"/>
      <w:bookmarkEnd w:id="15"/>
    </w:p>
    <w:p>
      <w:pPr>
        <w:spacing w:line="560" w:lineRule="exact"/>
        <w:ind w:firstLine="560" w:firstLineChars="200"/>
        <w:outlineLvl w:val="1"/>
        <w:rPr>
          <w:rFonts w:ascii="仿宋" w:hAnsi="仿宋" w:eastAsia="仿宋" w:cs="仿宋"/>
          <w:sz w:val="28"/>
          <w:szCs w:val="28"/>
        </w:rPr>
      </w:pPr>
      <w:bookmarkStart w:id="16" w:name="_Toc28959"/>
      <w:bookmarkStart w:id="17" w:name="_Toc11507"/>
      <w:r>
        <w:rPr>
          <w:rFonts w:hint="eastAsia" w:ascii="仿宋" w:hAnsi="仿宋" w:eastAsia="仿宋" w:cs="仿宋"/>
          <w:sz w:val="28"/>
          <w:szCs w:val="28"/>
        </w:rPr>
        <w:t>（一）项目概况</w:t>
      </w:r>
      <w:bookmarkEnd w:id="16"/>
      <w:bookmarkEnd w:id="17"/>
    </w:p>
    <w:p>
      <w:pPr>
        <w:spacing w:line="560" w:lineRule="exact"/>
        <w:ind w:firstLine="560" w:firstLineChars="200"/>
        <w:outlineLvl w:val="2"/>
        <w:rPr>
          <w:rFonts w:ascii="仿宋" w:hAnsi="仿宋" w:eastAsia="仿宋" w:cs="仿宋"/>
          <w:sz w:val="28"/>
          <w:szCs w:val="28"/>
        </w:rPr>
      </w:pPr>
      <w:bookmarkStart w:id="18" w:name="_Toc17430"/>
      <w:bookmarkStart w:id="19" w:name="_Toc3877"/>
      <w:r>
        <w:rPr>
          <w:rFonts w:hint="eastAsia" w:ascii="仿宋" w:hAnsi="仿宋" w:eastAsia="仿宋" w:cs="仿宋"/>
          <w:sz w:val="28"/>
          <w:szCs w:val="28"/>
        </w:rPr>
        <w:t>1、项目背景、目的</w:t>
      </w:r>
      <w:bookmarkEnd w:id="18"/>
      <w:r>
        <w:rPr>
          <w:rFonts w:hint="eastAsia" w:ascii="仿宋" w:hAnsi="仿宋" w:eastAsia="仿宋" w:cs="仿宋"/>
          <w:sz w:val="28"/>
          <w:szCs w:val="28"/>
        </w:rPr>
        <w:t>及依据</w:t>
      </w:r>
      <w:bookmarkEnd w:id="19"/>
    </w:p>
    <w:p>
      <w:pPr>
        <w:spacing w:line="560" w:lineRule="exact"/>
        <w:ind w:firstLine="560" w:firstLineChars="200"/>
        <w:outlineLvl w:val="1"/>
        <w:rPr>
          <w:rFonts w:ascii="仿宋" w:hAnsi="仿宋" w:eastAsia="仿宋" w:cs="仿宋"/>
          <w:sz w:val="28"/>
          <w:szCs w:val="28"/>
        </w:rPr>
      </w:pPr>
      <w:bookmarkStart w:id="20" w:name="_Toc20079"/>
      <w:r>
        <w:rPr>
          <w:rFonts w:hint="eastAsia" w:ascii="仿宋" w:hAnsi="仿宋" w:eastAsia="仿宋" w:cs="仿宋"/>
          <w:sz w:val="28"/>
          <w:szCs w:val="28"/>
        </w:rPr>
        <w:t>（1）项目立项背景</w:t>
      </w:r>
      <w:bookmarkEnd w:id="20"/>
    </w:p>
    <w:p>
      <w:pPr>
        <w:spacing w:line="560" w:lineRule="exact"/>
        <w:ind w:firstLine="560" w:firstLineChars="200"/>
      </w:pPr>
      <w:r>
        <w:rPr>
          <w:rFonts w:hint="eastAsia" w:ascii="仿宋" w:hAnsi="仿宋" w:eastAsia="仿宋" w:cs="仿宋"/>
          <w:sz w:val="28"/>
          <w:szCs w:val="28"/>
        </w:rPr>
        <w:t>涑水河是运城的母亲河，是黄河的一级支流，是省委、省政府“两山七河一流域”生态修复工程中的七大河流之一，发源于绛县陈村峪，经流闻喜、夏县、盐湖、临猗、永济6个县（市、区）入伍姓湖后于永济市韩阳镇长旺村附近汇入黄河，干流全长200.55千米，流域面积5774.4平方千米。涑水河位于临猗县东侧，自东北向西南流过，流经楚侯、猗氏、牛杜、嵋阳、庙上、七级6个乡镇35个行政村，境内全长44千米，流域面积985.44平方千米。</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涑水河临猗县城区段滞洪区工程项目占地298亩，长度为2904米，宽度为10.8～90米，主河槽深2.45米、滩槽深0.26～2.02米，河道横断面为复式断面，蓄水容积为40万立方米，主体工程由运城市涑水河河务局实施。为响应中央“绿水青山就是金山银山”的发展理念，抓好涑水河环境保护和生态治理,提高人民群众高品质生活水平，按照县委提出的“以环境保护、生态复苏为重点的生态体质新要求”，县委、县政府在充分规划论证的基础上，决定在运城市涑水河重点河道治理工程基础上，实施滞洪区配套工程（综合性景观生态工程）。</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（2）项目立项目的</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通过项目的实施，实现全县河道生态环境治理目标，塑造临猗县转型发展、可持续发展的新形象。</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（3）项目立项依据</w:t>
      </w:r>
    </w:p>
    <w:p>
      <w:pPr>
        <w:widowControl/>
        <w:spacing w:line="560" w:lineRule="exact"/>
        <w:ind w:firstLine="560" w:firstLineChars="200"/>
        <w:jc w:val="left"/>
        <w:rPr>
          <w:rFonts w:ascii="仿宋" w:hAnsi="仿宋" w:eastAsia="仿宋"/>
          <w:sz w:val="28"/>
          <w:szCs w:val="28"/>
        </w:rPr>
      </w:pPr>
      <w:r>
        <w:rPr>
          <w:rFonts w:hint="eastAsia" w:ascii="仿宋" w:hAnsi="仿宋" w:eastAsia="仿宋" w:cs="仿宋"/>
          <w:sz w:val="28"/>
          <w:szCs w:val="28"/>
        </w:rPr>
        <w:t>临猗县发展和改革局下发《关于涑水河临猗县城区（滞洪区）配套工程可行性研究报告的批复》</w:t>
      </w:r>
      <w:r>
        <w:rPr>
          <w:rFonts w:hint="eastAsia" w:ascii="仿宋" w:hAnsi="仿宋" w:eastAsia="仿宋"/>
          <w:sz w:val="28"/>
          <w:szCs w:val="28"/>
        </w:rPr>
        <w:t>（临发改资环字〔2018〕第23号）；</w:t>
      </w:r>
    </w:p>
    <w:p>
      <w:pPr>
        <w:widowControl/>
        <w:spacing w:line="560" w:lineRule="exact"/>
        <w:ind w:firstLine="560" w:firstLineChars="200"/>
        <w:jc w:val="left"/>
        <w:rPr>
          <w:rFonts w:ascii="仿宋" w:hAnsi="仿宋" w:eastAsia="仿宋"/>
          <w:sz w:val="28"/>
          <w:szCs w:val="28"/>
        </w:rPr>
      </w:pPr>
      <w:r>
        <w:rPr>
          <w:rFonts w:hint="eastAsia" w:ascii="仿宋" w:hAnsi="仿宋" w:eastAsia="仿宋" w:cs="仿宋"/>
          <w:sz w:val="28"/>
          <w:szCs w:val="28"/>
        </w:rPr>
        <w:t>临猗县发展和改革局下发《关于涑水河临猗县城区（滞洪区）配套工程初步设计的批复》（临发改资环字</w:t>
      </w:r>
      <w:r>
        <w:rPr>
          <w:rFonts w:hint="eastAsia" w:ascii="仿宋" w:hAnsi="仿宋" w:eastAsia="仿宋"/>
          <w:sz w:val="28"/>
          <w:szCs w:val="28"/>
        </w:rPr>
        <w:t>〔2018〕第63号）；</w:t>
      </w:r>
    </w:p>
    <w:p>
      <w:pPr>
        <w:pStyle w:val="2"/>
        <w:spacing w:line="560" w:lineRule="exact"/>
        <w:ind w:left="0" w:firstLine="560" w:firstLineChars="200"/>
        <w:rPr>
          <w:rFonts w:ascii="仿宋" w:hAnsi="仿宋" w:eastAsia="仿宋"/>
          <w:b w:val="0"/>
          <w:bCs w:val="0"/>
          <w:sz w:val="28"/>
          <w:szCs w:val="28"/>
        </w:rPr>
      </w:pPr>
      <w:r>
        <w:rPr>
          <w:rFonts w:hint="eastAsia" w:ascii="仿宋" w:hAnsi="仿宋" w:eastAsia="仿宋" w:cs="仿宋"/>
          <w:b w:val="0"/>
          <w:bCs w:val="0"/>
          <w:sz w:val="28"/>
          <w:szCs w:val="28"/>
        </w:rPr>
        <w:t>临猗县发展和改革局下发《关于临猗县涑水河城区段滞洪区配套工程人行道路汉白玉栏杆基础补强方案的批复》（临发改审批发</w:t>
      </w:r>
      <w:r>
        <w:rPr>
          <w:rFonts w:hint="eastAsia" w:ascii="仿宋" w:hAnsi="仿宋" w:eastAsia="仿宋"/>
          <w:b w:val="0"/>
          <w:bCs w:val="0"/>
          <w:sz w:val="28"/>
          <w:szCs w:val="28"/>
        </w:rPr>
        <w:t>〔2020〕31号）。</w:t>
      </w:r>
    </w:p>
    <w:p>
      <w:pPr>
        <w:spacing w:line="560" w:lineRule="exact"/>
        <w:ind w:firstLine="560" w:firstLineChars="200"/>
        <w:outlineLvl w:val="2"/>
        <w:rPr>
          <w:rFonts w:ascii="仿宋" w:hAnsi="仿宋" w:eastAsia="仿宋" w:cs="仿宋"/>
          <w:sz w:val="28"/>
          <w:szCs w:val="28"/>
        </w:rPr>
      </w:pPr>
      <w:bookmarkStart w:id="21" w:name="_Toc3555"/>
      <w:r>
        <w:rPr>
          <w:rFonts w:hint="eastAsia" w:ascii="仿宋" w:hAnsi="仿宋" w:eastAsia="仿宋" w:cs="仿宋"/>
          <w:sz w:val="28"/>
          <w:szCs w:val="28"/>
        </w:rPr>
        <w:t>2、</w:t>
      </w:r>
      <w:bookmarkStart w:id="22" w:name="_Toc21889"/>
      <w:bookmarkStart w:id="23" w:name="_Toc16110"/>
      <w:bookmarkStart w:id="24" w:name="_Toc13945"/>
      <w:r>
        <w:rPr>
          <w:rFonts w:hint="eastAsia" w:ascii="仿宋" w:hAnsi="仿宋" w:eastAsia="仿宋" w:cs="仿宋"/>
          <w:sz w:val="28"/>
          <w:szCs w:val="28"/>
        </w:rPr>
        <w:t>项目资金来源</w:t>
      </w:r>
      <w:bookmarkEnd w:id="22"/>
      <w:r>
        <w:rPr>
          <w:rFonts w:hint="eastAsia" w:ascii="仿宋" w:hAnsi="仿宋" w:eastAsia="仿宋" w:cs="仿宋"/>
          <w:sz w:val="28"/>
          <w:szCs w:val="28"/>
        </w:rPr>
        <w:t>及使用情况</w:t>
      </w:r>
      <w:bookmarkEnd w:id="21"/>
      <w:bookmarkEnd w:id="23"/>
      <w:bookmarkEnd w:id="24"/>
    </w:p>
    <w:p>
      <w:pPr>
        <w:widowControl/>
        <w:spacing w:line="560" w:lineRule="exact"/>
        <w:ind w:firstLine="560" w:firstLineChars="200"/>
        <w:jc w:val="left"/>
        <w:rPr>
          <w:rFonts w:ascii="仿宋" w:hAnsi="仿宋" w:eastAsia="仿宋"/>
          <w:sz w:val="28"/>
          <w:szCs w:val="28"/>
        </w:rPr>
      </w:pPr>
      <w:r>
        <w:rPr>
          <w:rFonts w:hint="eastAsia" w:ascii="仿宋" w:hAnsi="仿宋" w:eastAsia="仿宋"/>
          <w:sz w:val="28"/>
          <w:szCs w:val="28"/>
        </w:rPr>
        <w:t xml:space="preserve">（1）项目资金来源 </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涑水河临猗县城区段（滞洪区）配套工程项目共到位资金1,859.50万元，其中：2019年到位资金409.50万元，2020年到位资金1,450.00万元，全部为县级财政资金（其中抗疫特别国债500.00万元），具体明细如下：</w:t>
      </w:r>
    </w:p>
    <w:p>
      <w:pPr>
        <w:pStyle w:val="2"/>
        <w:ind w:left="0" w:firstLine="0"/>
      </w:pPr>
    </w:p>
    <w:tbl>
      <w:tblPr>
        <w:tblStyle w:val="11"/>
        <w:tblW w:w="9231" w:type="dxa"/>
        <w:jc w:val="center"/>
        <w:tblLayout w:type="fixed"/>
        <w:tblCellMar>
          <w:top w:w="0" w:type="dxa"/>
          <w:left w:w="108" w:type="dxa"/>
          <w:bottom w:w="0" w:type="dxa"/>
          <w:right w:w="108" w:type="dxa"/>
        </w:tblCellMar>
      </w:tblPr>
      <w:tblGrid>
        <w:gridCol w:w="727"/>
        <w:gridCol w:w="1452"/>
        <w:gridCol w:w="5448"/>
        <w:gridCol w:w="1604"/>
      </w:tblGrid>
      <w:tr>
        <w:tblPrEx>
          <w:tblCellMar>
            <w:top w:w="0" w:type="dxa"/>
            <w:left w:w="108" w:type="dxa"/>
            <w:bottom w:w="0" w:type="dxa"/>
            <w:right w:w="108" w:type="dxa"/>
          </w:tblCellMar>
        </w:tblPrEx>
        <w:trPr>
          <w:trHeight w:val="380" w:hRule="atLeast"/>
          <w:tblHeader/>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序号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日期</w:t>
            </w:r>
          </w:p>
        </w:tc>
        <w:tc>
          <w:tcPr>
            <w:tcW w:w="5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摘要</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金额</w:t>
            </w:r>
          </w:p>
        </w:tc>
      </w:tr>
      <w:tr>
        <w:tblPrEx>
          <w:tblCellMar>
            <w:top w:w="0" w:type="dxa"/>
            <w:left w:w="108" w:type="dxa"/>
            <w:bottom w:w="0" w:type="dxa"/>
            <w:right w:w="108" w:type="dxa"/>
          </w:tblCellMar>
        </w:tblPrEx>
        <w:trPr>
          <w:trHeight w:val="38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2019年7月</w:t>
            </w:r>
          </w:p>
        </w:tc>
        <w:tc>
          <w:tcPr>
            <w:tcW w:w="5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收财政拨涑水河临猗县城区（滞洪区）配套工程费用</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Cs w:val="21"/>
              </w:rPr>
            </w:pPr>
            <w:r>
              <w:rPr>
                <w:rFonts w:hint="eastAsia" w:ascii="仿宋" w:hAnsi="仿宋" w:eastAsia="仿宋" w:cs="仿宋"/>
                <w:color w:val="000000"/>
                <w:kern w:val="0"/>
                <w:szCs w:val="21"/>
              </w:rPr>
              <w:t>4,000,000.00</w:t>
            </w:r>
          </w:p>
        </w:tc>
      </w:tr>
      <w:tr>
        <w:tblPrEx>
          <w:tblCellMar>
            <w:top w:w="0" w:type="dxa"/>
            <w:left w:w="108" w:type="dxa"/>
            <w:bottom w:w="0" w:type="dxa"/>
            <w:right w:w="108" w:type="dxa"/>
          </w:tblCellMar>
        </w:tblPrEx>
        <w:trPr>
          <w:trHeight w:val="38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2</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2019年8月</w:t>
            </w:r>
          </w:p>
        </w:tc>
        <w:tc>
          <w:tcPr>
            <w:tcW w:w="5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收滞洪区项目用地选址可研费</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Cs w:val="21"/>
              </w:rPr>
            </w:pPr>
            <w:r>
              <w:rPr>
                <w:rFonts w:hint="eastAsia" w:ascii="仿宋" w:hAnsi="仿宋" w:eastAsia="仿宋" w:cs="仿宋"/>
                <w:color w:val="000000"/>
                <w:kern w:val="0"/>
                <w:szCs w:val="21"/>
              </w:rPr>
              <w:t>95,000.00</w:t>
            </w:r>
          </w:p>
        </w:tc>
      </w:tr>
      <w:tr>
        <w:tblPrEx>
          <w:tblCellMar>
            <w:top w:w="0" w:type="dxa"/>
            <w:left w:w="108" w:type="dxa"/>
            <w:bottom w:w="0" w:type="dxa"/>
            <w:right w:w="108" w:type="dxa"/>
          </w:tblCellMar>
        </w:tblPrEx>
        <w:trPr>
          <w:trHeight w:val="38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3</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2020年3月</w:t>
            </w:r>
          </w:p>
        </w:tc>
        <w:tc>
          <w:tcPr>
            <w:tcW w:w="5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收财政拨涑水河临猗县城区段（滞洪区）配套工程费用</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Cs w:val="21"/>
              </w:rPr>
            </w:pPr>
            <w:r>
              <w:rPr>
                <w:rFonts w:hint="eastAsia" w:ascii="仿宋" w:hAnsi="仿宋" w:eastAsia="仿宋" w:cs="仿宋"/>
                <w:color w:val="000000"/>
                <w:kern w:val="0"/>
                <w:szCs w:val="21"/>
              </w:rPr>
              <w:t>9,500,000.00</w:t>
            </w:r>
          </w:p>
        </w:tc>
      </w:tr>
      <w:tr>
        <w:tblPrEx>
          <w:tblCellMar>
            <w:top w:w="0" w:type="dxa"/>
            <w:left w:w="108" w:type="dxa"/>
            <w:bottom w:w="0" w:type="dxa"/>
            <w:right w:w="108" w:type="dxa"/>
          </w:tblCellMar>
        </w:tblPrEx>
        <w:trPr>
          <w:trHeight w:val="38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4</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2020年8月</w:t>
            </w:r>
          </w:p>
        </w:tc>
        <w:tc>
          <w:tcPr>
            <w:tcW w:w="5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收财政拨涑水河临猗县城区段（滞洪区）配套工程费用（临财预指[2020]109号文件）</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Cs w:val="21"/>
              </w:rPr>
            </w:pPr>
            <w:r>
              <w:rPr>
                <w:rFonts w:hint="eastAsia" w:ascii="仿宋" w:hAnsi="仿宋" w:eastAsia="仿宋" w:cs="仿宋"/>
                <w:color w:val="000000"/>
                <w:kern w:val="0"/>
                <w:szCs w:val="21"/>
              </w:rPr>
              <w:t>5,000,000.00</w:t>
            </w:r>
          </w:p>
        </w:tc>
      </w:tr>
      <w:tr>
        <w:tblPrEx>
          <w:tblCellMar>
            <w:top w:w="0" w:type="dxa"/>
            <w:left w:w="108" w:type="dxa"/>
            <w:bottom w:w="0" w:type="dxa"/>
            <w:right w:w="108" w:type="dxa"/>
          </w:tblCellMar>
        </w:tblPrEx>
        <w:trPr>
          <w:trHeight w:val="38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Cs w:val="21"/>
              </w:rPr>
            </w:pPr>
          </w:p>
        </w:tc>
        <w:tc>
          <w:tcPr>
            <w:tcW w:w="5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r>
              <w:rPr>
                <w:rFonts w:hint="eastAsia" w:ascii="仿宋" w:hAnsi="仿宋" w:eastAsia="仿宋" w:cs="仿宋"/>
                <w:color w:val="000000"/>
                <w:szCs w:val="21"/>
              </w:rPr>
              <w:t>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Cs w:val="21"/>
              </w:rPr>
            </w:pPr>
            <w:r>
              <w:rPr>
                <w:rFonts w:hint="eastAsia" w:ascii="仿宋" w:hAnsi="仿宋" w:eastAsia="仿宋" w:cs="仿宋"/>
                <w:color w:val="000000"/>
                <w:kern w:val="0"/>
                <w:szCs w:val="21"/>
              </w:rPr>
              <w:t>18,595,000.00</w:t>
            </w:r>
          </w:p>
        </w:tc>
      </w:tr>
    </w:tbl>
    <w:p>
      <w:pPr>
        <w:widowControl/>
        <w:spacing w:line="600" w:lineRule="exact"/>
        <w:ind w:firstLine="560" w:firstLineChars="200"/>
        <w:jc w:val="left"/>
        <w:rPr>
          <w:rFonts w:ascii="仿宋" w:hAnsi="仿宋" w:eastAsia="仿宋"/>
          <w:sz w:val="28"/>
          <w:szCs w:val="28"/>
        </w:rPr>
      </w:pPr>
      <w:r>
        <w:rPr>
          <w:rFonts w:hint="eastAsia" w:ascii="仿宋" w:hAnsi="仿宋" w:eastAsia="仿宋"/>
          <w:sz w:val="28"/>
          <w:szCs w:val="28"/>
        </w:rPr>
        <w:t xml:space="preserve">（2）项目资金使用情况 </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sz w:val="28"/>
          <w:szCs w:val="28"/>
        </w:rPr>
        <w:t>该项目共到位资金1,859.50万元，全部为县级财政资金，截止2021年8月已使用资金</w:t>
      </w:r>
      <w:r>
        <w:rPr>
          <w:rFonts w:hint="eastAsia" w:ascii="仿宋" w:hAnsi="仿宋" w:eastAsia="仿宋"/>
          <w:color w:val="000000" w:themeColor="text1"/>
          <w:sz w:val="28"/>
          <w:szCs w:val="28"/>
        </w:rPr>
        <w:t>14,745,743.10</w:t>
      </w:r>
      <w:r>
        <w:rPr>
          <w:rFonts w:hint="eastAsia" w:ascii="仿宋" w:hAnsi="仿宋" w:eastAsia="仿宋"/>
          <w:sz w:val="28"/>
          <w:szCs w:val="28"/>
        </w:rPr>
        <w:t>元，资金结余3,849,256.90元，资金结余的原因为：</w:t>
      </w:r>
      <w:r>
        <w:rPr>
          <w:rFonts w:hint="eastAsia" w:ascii="仿宋" w:hAnsi="仿宋" w:eastAsia="仿宋" w:cs="仿宋"/>
          <w:sz w:val="28"/>
          <w:szCs w:val="28"/>
        </w:rPr>
        <w:t>项目单位按工程预计总资金向财政申请资金额度，但由于部分工程未完工，导致资金无法支付。</w:t>
      </w:r>
    </w:p>
    <w:p>
      <w:pPr>
        <w:spacing w:line="560" w:lineRule="exact"/>
        <w:ind w:firstLine="560" w:firstLineChars="200"/>
        <w:outlineLvl w:val="2"/>
        <w:rPr>
          <w:rFonts w:ascii="仿宋" w:hAnsi="仿宋" w:eastAsia="仿宋" w:cs="仿宋"/>
          <w:sz w:val="28"/>
          <w:szCs w:val="28"/>
        </w:rPr>
      </w:pPr>
      <w:bookmarkStart w:id="25" w:name="_Toc2749"/>
      <w:r>
        <w:rPr>
          <w:rFonts w:hint="eastAsia" w:ascii="仿宋" w:hAnsi="仿宋" w:eastAsia="仿宋" w:cs="仿宋"/>
          <w:sz w:val="28"/>
          <w:szCs w:val="28"/>
        </w:rPr>
        <w:t>3、评价组织实施情况</w:t>
      </w:r>
      <w:bookmarkEnd w:id="25"/>
    </w:p>
    <w:p>
      <w:pPr>
        <w:spacing w:line="560" w:lineRule="exact"/>
        <w:ind w:firstLine="560" w:firstLineChars="200"/>
        <w:outlineLvl w:val="1"/>
      </w:pPr>
      <w:bookmarkStart w:id="26" w:name="_Toc2299"/>
      <w:r>
        <w:rPr>
          <w:rFonts w:hint="eastAsia" w:ascii="仿宋" w:hAnsi="仿宋" w:eastAsia="仿宋" w:cs="仿宋"/>
          <w:sz w:val="28"/>
          <w:szCs w:val="28"/>
        </w:rPr>
        <w:t>（1）评价组织情况</w:t>
      </w:r>
      <w:bookmarkEnd w:id="26"/>
    </w:p>
    <w:p>
      <w:pPr>
        <w:spacing w:line="560" w:lineRule="exact"/>
        <w:ind w:firstLine="560" w:firstLineChars="200"/>
        <w:rPr>
          <w:rFonts w:ascii="仿宋" w:hAnsi="仿宋" w:eastAsia="仿宋"/>
          <w:sz w:val="28"/>
          <w:szCs w:val="28"/>
        </w:rPr>
      </w:pPr>
      <w:r>
        <w:rPr>
          <w:rFonts w:hint="eastAsia" w:ascii="仿宋" w:hAnsi="仿宋" w:eastAsia="仿宋"/>
          <w:sz w:val="28"/>
          <w:szCs w:val="28"/>
        </w:rPr>
        <w:t>项目相关部门及工作职责：</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财政部门：临猗县财政局负责审批、拨付预算资金，对项目资金的使用进行监管，组织开展绩效评价工作。</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主管部门：临猗县水务局负责项目立项、资金申报，指导和监督项目实施单位开展涑水河临猗县城区段（滞洪区）配套工程项目工作。</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实施单位：临猗县涑水河道管理站负责具体实施工作，按照绩效目标使用财政资金，开展绩效自评工作等。</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受益群体：临猗县城及周边人民群众。</w:t>
      </w:r>
    </w:p>
    <w:p>
      <w:pPr>
        <w:spacing w:line="560" w:lineRule="exact"/>
        <w:ind w:firstLine="560" w:firstLineChars="200"/>
        <w:outlineLvl w:val="1"/>
        <w:rPr>
          <w:rFonts w:ascii="仿宋" w:hAnsi="仿宋" w:eastAsia="仿宋" w:cs="仿宋"/>
          <w:sz w:val="28"/>
          <w:szCs w:val="28"/>
        </w:rPr>
      </w:pPr>
      <w:bookmarkStart w:id="27" w:name="_Toc31888"/>
      <w:r>
        <w:rPr>
          <w:rFonts w:hint="eastAsia" w:ascii="仿宋" w:hAnsi="仿宋" w:eastAsia="仿宋" w:cs="仿宋"/>
          <w:sz w:val="28"/>
          <w:szCs w:val="28"/>
        </w:rPr>
        <w:t>（2）项目实施情况</w:t>
      </w:r>
      <w:bookmarkEnd w:id="27"/>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2018年4月，临猗县发展和改革局</w:t>
      </w:r>
      <w:r>
        <w:rPr>
          <w:rFonts w:hint="eastAsia" w:ascii="仿宋" w:hAnsi="仿宋" w:eastAsia="仿宋"/>
          <w:sz w:val="28"/>
          <w:szCs w:val="28"/>
        </w:rPr>
        <w:t>以临发改资环字</w:t>
      </w:r>
      <w:r>
        <w:rPr>
          <w:rFonts w:hint="eastAsia" w:ascii="仿宋" w:hAnsi="仿宋" w:eastAsia="仿宋" w:cs="仿宋"/>
          <w:sz w:val="28"/>
          <w:szCs w:val="28"/>
        </w:rPr>
        <w:t>〔2018〕</w:t>
      </w:r>
      <w:r>
        <w:rPr>
          <w:rFonts w:hint="eastAsia" w:ascii="仿宋" w:hAnsi="仿宋" w:eastAsia="仿宋"/>
          <w:sz w:val="28"/>
          <w:szCs w:val="28"/>
        </w:rPr>
        <w:t>23号文件对涑水河临猗县城区段（滞洪区）配套工程项目予以批复</w:t>
      </w:r>
      <w:r>
        <w:rPr>
          <w:rFonts w:hint="eastAsia" w:ascii="仿宋" w:hAnsi="仿宋" w:eastAsia="仿宋" w:cs="仿宋"/>
          <w:sz w:val="28"/>
          <w:szCs w:val="28"/>
        </w:rPr>
        <w:t>，该项目沿涑水河东起209国道，西至华晋大道全长2904米（滞洪区2078米）。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2018年5月、2018年10月在运城市公共资源交易中心对该项目设计、施工、监理进行公开招标，最终确定中北工程设计咨询有限公司、山西亿承建设工程有限公司、晋城市金建建筑有限公司等单位为项目中标单位。</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该项目自2019年7月开始与运城涑水河治理工程交叉进行，至2020年5月方才开始进行全面施工。</w:t>
      </w:r>
      <w:r>
        <w:rPr>
          <w:rFonts w:hint="eastAsia" w:ascii="仿宋" w:hAnsi="仿宋" w:eastAsia="仿宋" w:cs="仿宋"/>
          <w:sz w:val="28"/>
          <w:szCs w:val="28"/>
        </w:rPr>
        <w:t>在河道治理工程基础上，为提升城区段治理标准，方便县城居民休闲观光，该项目将河堤加宽并配套建设彩色水泥人行道2.356万平方米、微地形绿化带4.168万平方米、汉白玉护栏5890米、管理用房建筑面积159.96平方米、4处长廊亲水平台、2处湖心亭、喷灌设施、供电工程、河道灯带等工程。</w:t>
      </w:r>
    </w:p>
    <w:p>
      <w:pPr>
        <w:spacing w:line="560" w:lineRule="exact"/>
        <w:ind w:firstLine="560" w:firstLineChars="200"/>
        <w:outlineLvl w:val="1"/>
        <w:rPr>
          <w:rFonts w:ascii="仿宋" w:hAnsi="仿宋" w:eastAsia="仿宋" w:cs="仿宋"/>
          <w:sz w:val="28"/>
          <w:szCs w:val="28"/>
        </w:rPr>
      </w:pPr>
      <w:bookmarkStart w:id="28" w:name="_Toc12502"/>
      <w:bookmarkStart w:id="29" w:name="_Toc1505"/>
      <w:r>
        <w:rPr>
          <w:rFonts w:hint="eastAsia" w:ascii="仿宋" w:hAnsi="仿宋" w:eastAsia="仿宋" w:cs="仿宋"/>
          <w:sz w:val="28"/>
          <w:szCs w:val="28"/>
        </w:rPr>
        <w:t>（二）项目绩效目标</w:t>
      </w:r>
      <w:bookmarkEnd w:id="28"/>
      <w:bookmarkEnd w:id="29"/>
    </w:p>
    <w:p>
      <w:pPr>
        <w:spacing w:line="560" w:lineRule="exact"/>
        <w:ind w:firstLine="560" w:firstLineChars="200"/>
        <w:outlineLvl w:val="2"/>
        <w:rPr>
          <w:rFonts w:ascii="仿宋" w:hAnsi="仿宋" w:eastAsia="仿宋"/>
          <w:bCs/>
          <w:sz w:val="28"/>
          <w:szCs w:val="28"/>
        </w:rPr>
      </w:pPr>
      <w:bookmarkStart w:id="30" w:name="_Toc6432"/>
      <w:r>
        <w:rPr>
          <w:rFonts w:hint="eastAsia" w:ascii="仿宋" w:hAnsi="仿宋" w:eastAsia="仿宋"/>
          <w:bCs/>
          <w:sz w:val="28"/>
          <w:szCs w:val="28"/>
        </w:rPr>
        <w:t>1、项目总体目标</w:t>
      </w:r>
      <w:bookmarkEnd w:id="30"/>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通过项目的实施，实现全县河道生态环境的治理目标，塑造临猗转型发展、可持续发展的新形象。</w:t>
      </w:r>
    </w:p>
    <w:p>
      <w:pPr>
        <w:spacing w:line="560" w:lineRule="exact"/>
        <w:ind w:firstLine="560" w:firstLineChars="200"/>
        <w:outlineLvl w:val="2"/>
        <w:rPr>
          <w:rFonts w:ascii="仿宋" w:hAnsi="仿宋" w:eastAsia="仿宋"/>
          <w:bCs/>
          <w:sz w:val="28"/>
          <w:szCs w:val="28"/>
        </w:rPr>
      </w:pPr>
      <w:bookmarkStart w:id="31" w:name="_Toc31328"/>
      <w:r>
        <w:rPr>
          <w:rFonts w:hint="eastAsia" w:ascii="仿宋" w:hAnsi="仿宋" w:eastAsia="仿宋"/>
          <w:bCs/>
          <w:sz w:val="28"/>
          <w:szCs w:val="28"/>
        </w:rPr>
        <w:t>2、项目分解指标</w:t>
      </w:r>
      <w:bookmarkEnd w:id="31"/>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数量指标：完成1处管理用房、2处亲水平台、1960颗绿植、2171米铁丝护栏、343个路灯、4处长廊、4处公厕、4处砼亭、40处文化墙、5808米彩色砼路面、5808米汉白玉防护栏杆。</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质量指标：工程合格率100%；有责安全事故发生数0起。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时效指标：完成及时性100%。</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成本指标：工程建设费用2930万元。</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社会效益：100%高标准服务社会。</w:t>
      </w:r>
    </w:p>
    <w:p>
      <w:pPr>
        <w:ind w:firstLine="602" w:firstLineChars="200"/>
        <w:outlineLvl w:val="0"/>
        <w:rPr>
          <w:rFonts w:ascii="仿宋" w:hAnsi="仿宋" w:eastAsia="仿宋" w:cs="仿宋"/>
          <w:b/>
          <w:sz w:val="30"/>
          <w:szCs w:val="30"/>
        </w:rPr>
      </w:pPr>
      <w:bookmarkStart w:id="32" w:name="_Toc13650"/>
      <w:bookmarkStart w:id="33" w:name="_Toc19448"/>
      <w:r>
        <w:rPr>
          <w:rFonts w:hint="eastAsia" w:ascii="仿宋" w:hAnsi="仿宋" w:eastAsia="仿宋" w:cs="仿宋"/>
          <w:b/>
          <w:sz w:val="30"/>
          <w:szCs w:val="30"/>
        </w:rPr>
        <w:t>二、绩效评价工作情况</w:t>
      </w:r>
      <w:bookmarkEnd w:id="32"/>
      <w:bookmarkEnd w:id="33"/>
    </w:p>
    <w:p>
      <w:pPr>
        <w:spacing w:line="560" w:lineRule="exact"/>
        <w:ind w:firstLine="560" w:firstLineChars="200"/>
        <w:outlineLvl w:val="1"/>
        <w:rPr>
          <w:rFonts w:ascii="仿宋" w:hAnsi="仿宋" w:eastAsia="仿宋" w:cs="仿宋"/>
          <w:sz w:val="28"/>
          <w:szCs w:val="28"/>
        </w:rPr>
      </w:pPr>
      <w:bookmarkStart w:id="34" w:name="_Toc27670"/>
      <w:bookmarkStart w:id="35" w:name="_Toc26543"/>
      <w:r>
        <w:rPr>
          <w:rFonts w:hint="eastAsia" w:ascii="仿宋" w:hAnsi="仿宋" w:eastAsia="仿宋" w:cs="仿宋"/>
          <w:sz w:val="28"/>
          <w:szCs w:val="28"/>
        </w:rPr>
        <w:t>（一）绩效评价目的和依据</w:t>
      </w:r>
      <w:bookmarkEnd w:id="34"/>
      <w:bookmarkEnd w:id="35"/>
    </w:p>
    <w:p>
      <w:pPr>
        <w:spacing w:line="560" w:lineRule="exact"/>
        <w:ind w:firstLine="560" w:firstLineChars="200"/>
        <w:rPr>
          <w:rFonts w:ascii="仿宋" w:hAnsi="仿宋" w:eastAsia="仿宋"/>
          <w:color w:val="555555"/>
          <w:sz w:val="32"/>
          <w:szCs w:val="32"/>
        </w:rPr>
      </w:pPr>
      <w:r>
        <w:rPr>
          <w:rFonts w:hint="eastAsia" w:ascii="仿宋" w:hAnsi="仿宋" w:eastAsia="仿宋" w:cs="仿宋"/>
          <w:sz w:val="28"/>
          <w:szCs w:val="28"/>
        </w:rPr>
        <w:t>财政支出绩效评价旨在改善预算部门的财政支出管理，优化资源配置，提高公共服务水平。本项目绩效评价是根据设定的绩效目标，运用科学、合理的绩效评价指标、评价标准和评价方法，对项目财政资金使用情况、财务管理状况进行核实；同时核实项目单位为加强管理所制定的相关制度、采取的措施是否得到有效执行等；评价绩效目标预定产出和效果的实现程度，总结项目实施的经验和主要做法，查找项目实施过程中存在的问题，对以后年度项目资金安排和监管提出建议</w:t>
      </w:r>
      <w:r>
        <w:rPr>
          <w:rFonts w:hint="eastAsia" w:ascii="仿宋" w:hAnsi="仿宋" w:eastAsia="仿宋"/>
          <w:color w:val="555555"/>
          <w:sz w:val="32"/>
          <w:szCs w:val="32"/>
        </w:rPr>
        <w:t>。</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本次项目评价所依据的法律、法规规章、政策文件，包括但不限于：</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（1）《中华人民共和国预算法》2018年第二次修正</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（2）《中华人民共和国预算法实施条例》中华人民共和国国务院令第729号</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（3）财政部《项目支出绩效评价管理办法》（财预〔2020〕10号）</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（4）《中共中央国务院关于全面实施预算绩效管理的意见》（中发〔2018〕34号）</w:t>
      </w:r>
    </w:p>
    <w:p>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（5）《中共山西省委山西省人民政府关于全面实施预算绩效管理的实施意见》（晋发〔2018〕39号）</w:t>
      </w:r>
    </w:p>
    <w:p>
      <w:pPr>
        <w:spacing w:line="560" w:lineRule="exact"/>
        <w:ind w:firstLine="560" w:firstLineChars="200"/>
        <w:jc w:val="left"/>
        <w:rPr>
          <w:rFonts w:ascii="仿宋" w:hAnsi="仿宋" w:eastAsia="仿宋" w:cs="仿宋"/>
          <w:sz w:val="28"/>
          <w:szCs w:val="28"/>
        </w:rPr>
      </w:pPr>
      <w:r>
        <w:rPr>
          <w:rFonts w:hint="eastAsia" w:ascii="仿宋" w:hAnsi="仿宋" w:eastAsia="仿宋" w:cs="仿宋"/>
          <w:bCs/>
          <w:sz w:val="28"/>
          <w:szCs w:val="28"/>
        </w:rPr>
        <w:t>（6）财政部关于印发《第三方机构预算绩效评价业务监督管理暂行办法》的通知（ 财监</w:t>
      </w:r>
      <w:r>
        <w:rPr>
          <w:rFonts w:hint="eastAsia" w:ascii="仿宋" w:hAnsi="仿宋" w:eastAsia="仿宋" w:cs="仿宋"/>
          <w:sz w:val="28"/>
          <w:szCs w:val="28"/>
        </w:rPr>
        <w:t>〔2021〕4号）</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（7）</w:t>
      </w:r>
      <w:r>
        <w:rPr>
          <w:rFonts w:hint="eastAsia" w:ascii="仿宋" w:hAnsi="仿宋" w:eastAsia="仿宋"/>
          <w:sz w:val="28"/>
          <w:szCs w:val="28"/>
        </w:rPr>
        <w:t>项目单位财务管理办法、财务资料</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（8）</w:t>
      </w:r>
      <w:r>
        <w:rPr>
          <w:rFonts w:hint="eastAsia" w:ascii="仿宋" w:hAnsi="仿宋" w:eastAsia="仿宋"/>
          <w:sz w:val="28"/>
          <w:szCs w:val="28"/>
        </w:rPr>
        <w:t>项目立项、可研、财政预算评审、招投标、项目建设及监理等资料</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（9）其他有关的法律、法规、规章及政策文件</w:t>
      </w:r>
    </w:p>
    <w:p>
      <w:pPr>
        <w:spacing w:line="560" w:lineRule="exact"/>
        <w:ind w:firstLine="560" w:firstLineChars="200"/>
        <w:outlineLvl w:val="1"/>
        <w:rPr>
          <w:rFonts w:ascii="仿宋" w:hAnsi="仿宋" w:eastAsia="仿宋" w:cs="仿宋"/>
          <w:sz w:val="28"/>
          <w:szCs w:val="28"/>
        </w:rPr>
      </w:pPr>
      <w:bookmarkStart w:id="36" w:name="_Toc11832"/>
      <w:bookmarkStart w:id="37" w:name="_Toc699"/>
      <w:r>
        <w:rPr>
          <w:rFonts w:hint="eastAsia" w:ascii="仿宋" w:hAnsi="仿宋" w:eastAsia="仿宋" w:cs="仿宋"/>
          <w:sz w:val="28"/>
          <w:szCs w:val="28"/>
        </w:rPr>
        <w:t>（二）评价原则</w:t>
      </w:r>
      <w:bookmarkEnd w:id="36"/>
      <w:bookmarkEnd w:id="37"/>
    </w:p>
    <w:p>
      <w:pPr>
        <w:spacing w:line="560" w:lineRule="exact"/>
        <w:ind w:firstLine="560" w:firstLineChars="200"/>
        <w:rPr>
          <w:rFonts w:ascii="仿宋" w:hAnsi="仿宋" w:eastAsia="仿宋"/>
          <w:sz w:val="28"/>
          <w:szCs w:val="28"/>
        </w:rPr>
      </w:pPr>
      <w:r>
        <w:rPr>
          <w:rFonts w:hint="eastAsia" w:ascii="仿宋" w:hAnsi="仿宋" w:eastAsia="仿宋"/>
          <w:sz w:val="28"/>
          <w:szCs w:val="28"/>
        </w:rPr>
        <w:t>1.独立原则。在委托方和被评价对象提供工作便利条件和相关资料情况下独立完成委托事项。</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2.客观原则。按照协议（合同）约定事项客观公正、实事求是地开展预算绩效评价，不出具不实预算绩效评价报告。</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3.规范原则。履行必要评价程序，合理选取具有代表性的样本，对原始资料进行必要的核查验证，形成结论并出具预算绩效评价报告。</w:t>
      </w:r>
    </w:p>
    <w:p>
      <w:pPr>
        <w:spacing w:line="560" w:lineRule="exact"/>
        <w:ind w:firstLine="560" w:firstLineChars="200"/>
        <w:outlineLvl w:val="1"/>
        <w:rPr>
          <w:rFonts w:ascii="仿宋" w:hAnsi="仿宋" w:eastAsia="仿宋" w:cs="仿宋"/>
          <w:sz w:val="28"/>
          <w:szCs w:val="28"/>
        </w:rPr>
      </w:pPr>
      <w:bookmarkStart w:id="38" w:name="_Toc7375"/>
      <w:bookmarkStart w:id="39" w:name="_Toc32415"/>
      <w:r>
        <w:rPr>
          <w:rFonts w:hint="eastAsia" w:ascii="仿宋" w:hAnsi="仿宋" w:eastAsia="仿宋" w:cs="仿宋"/>
          <w:sz w:val="28"/>
          <w:szCs w:val="28"/>
        </w:rPr>
        <w:t>（三）绩效评价指标体系</w:t>
      </w:r>
      <w:bookmarkEnd w:id="38"/>
      <w:bookmarkEnd w:id="39"/>
    </w:p>
    <w:p>
      <w:pPr>
        <w:spacing w:line="560" w:lineRule="exact"/>
        <w:ind w:firstLine="560" w:firstLineChars="200"/>
        <w:rPr>
          <w:rFonts w:ascii="仿宋" w:hAnsi="仿宋" w:eastAsia="仿宋"/>
          <w:sz w:val="28"/>
          <w:szCs w:val="28"/>
        </w:rPr>
      </w:pPr>
      <w:r>
        <w:rPr>
          <w:rFonts w:hint="eastAsia" w:ascii="仿宋" w:hAnsi="仿宋" w:eastAsia="仿宋"/>
          <w:sz w:val="28"/>
          <w:szCs w:val="28"/>
        </w:rPr>
        <w:t>根据财政部《项目支出绩效评价管理办法》（财预〔2020〕10号）文件精神，遵循相关性、重要性、可比性、系统性、经济性原则，形成了涑水河临猗县城区段（滞洪区）配套工程项目的绩效评价指标体系。评价指标体系分为四个一级指标即决策、过程、产出、效益，反映了一个项目从决策到产出、效益的整个过程。结合项目的实际情况，又细分成项目立项、绩效目标、资金投入、资金管理、组织实施、产出数量、产出质量、产出时效、产出成本、社会效益、满意度共11个二级指标以及立项依据充分性、绩效目标合理性、预算编制科学性、资金分配合理性、财政资金到位率、预算执行率、资金使用合规性、组织机构健全性、管理用房建设完成率、公厕建设完成率、景观工程建设完成率等32个三级指标，具体指标体系见下表：</w:t>
      </w:r>
    </w:p>
    <w:tbl>
      <w:tblPr>
        <w:tblStyle w:val="11"/>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63"/>
        <w:gridCol w:w="381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28" w:type="dxa"/>
            <w:noWrap/>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4"/>
                <w:szCs w:val="24"/>
              </w:rPr>
              <w:t>一级指标</w:t>
            </w:r>
          </w:p>
        </w:tc>
        <w:tc>
          <w:tcPr>
            <w:tcW w:w="1663" w:type="dxa"/>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二级指标</w:t>
            </w:r>
          </w:p>
        </w:tc>
        <w:tc>
          <w:tcPr>
            <w:tcW w:w="3819" w:type="dxa"/>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三级指标</w:t>
            </w:r>
          </w:p>
        </w:tc>
        <w:tc>
          <w:tcPr>
            <w:tcW w:w="1560" w:type="dxa"/>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标准分值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noWrap/>
            <w:vAlign w:val="center"/>
          </w:tcPr>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决策（A）（20%）</w:t>
            </w:r>
          </w:p>
        </w:tc>
        <w:tc>
          <w:tcPr>
            <w:tcW w:w="1663" w:type="dxa"/>
            <w:vMerge w:val="restart"/>
            <w:noWrap/>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项目立项</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（A1）（4%）</w:t>
            </w: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立项依据充分性（A1-1）</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立项程序规范性（A1-2）</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restart"/>
            <w:noWrap/>
            <w:vAlign w:val="center"/>
          </w:tcPr>
          <w:p>
            <w:pPr>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绩效目标</w:t>
            </w:r>
          </w:p>
          <w:p>
            <w:pPr>
              <w:jc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（A2）（8%）</w:t>
            </w: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绩效目标合理性（A2-1）</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宋体"/>
                <w:color w:val="333333"/>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绩效指标明确性（A2-2）</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宋体"/>
                <w:color w:val="333333"/>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restart"/>
            <w:noWrap/>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资金投入</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（A3）（8%）</w:t>
            </w: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预算编制科学性（A3-1）</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宋体"/>
                <w:color w:val="333333"/>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widowControl/>
              <w:jc w:val="center"/>
              <w:textAlignment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资金分配合理性（A3-1）</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宋体"/>
                <w:color w:val="333333"/>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noWrap/>
            <w:vAlign w:val="center"/>
          </w:tcPr>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过程（B）（20%）</w:t>
            </w:r>
          </w:p>
        </w:tc>
        <w:tc>
          <w:tcPr>
            <w:tcW w:w="1663" w:type="dxa"/>
            <w:vMerge w:val="restart"/>
            <w:noWrap/>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资金管理</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（B1）（8%）</w:t>
            </w: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财政资金到位率（B1-1）</w:t>
            </w:r>
          </w:p>
        </w:tc>
        <w:tc>
          <w:tcPr>
            <w:tcW w:w="1560" w:type="dxa"/>
            <w:noWrap/>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预算执行率（B1-2）</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资金使用合规性（B1-3）</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restart"/>
            <w:noWrap/>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组织实施</w:t>
            </w:r>
          </w:p>
          <w:p>
            <w:pPr>
              <w:jc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（B2）（12%）</w:t>
            </w: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组织机构健全性（B2-1）</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管理制度健全性（B2-2）</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制度执行有效性（B2-3）</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财政预算评审（B2-4）</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招投标制度执行（B2-5）</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工程监理情况（B2-6）</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noWrap/>
            <w:vAlign w:val="center"/>
          </w:tcPr>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产出（C）（30%）</w:t>
            </w:r>
          </w:p>
        </w:tc>
        <w:tc>
          <w:tcPr>
            <w:tcW w:w="1663" w:type="dxa"/>
            <w:vMerge w:val="restart"/>
            <w:noWrap/>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产出数量</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（C1）（20%）</w:t>
            </w: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管理用房建设完成率（C1-1）</w:t>
            </w:r>
          </w:p>
        </w:tc>
        <w:tc>
          <w:tcPr>
            <w:tcW w:w="1560" w:type="dxa"/>
            <w:noWrap/>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公厕建设完成率（C1-2）</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景观工程建设完成率（C1-3）</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长廊建设完成率（C1-4）</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湖心亭建设完成率（C1-5）</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道路施工完成率（C1-6）</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照明工程完成率（C1-7）</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汉白玉护栏安装完成率（C1-8）</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浸塑格栅安装完成率（C1-9）</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绿化工程完成率（C1-10）</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noWrap/>
            <w:vAlign w:val="center"/>
          </w:tcPr>
          <w:p>
            <w:pPr>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产出质量</w:t>
            </w:r>
          </w:p>
          <w:p>
            <w:pPr>
              <w:jc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（C2）（4%）</w:t>
            </w: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工程项目质量合格率（C2-1)</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noWrap/>
            <w:vAlign w:val="center"/>
          </w:tcPr>
          <w:p>
            <w:pPr>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产出时效</w:t>
            </w:r>
          </w:p>
          <w:p>
            <w:pPr>
              <w:jc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（C3）（4%）</w:t>
            </w:r>
          </w:p>
        </w:tc>
        <w:tc>
          <w:tcPr>
            <w:tcW w:w="3819" w:type="dxa"/>
            <w:noWrap/>
            <w:vAlign w:val="center"/>
          </w:tcPr>
          <w:p>
            <w:pPr>
              <w:widowControl/>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项目完成及时性（C3-1）</w:t>
            </w:r>
          </w:p>
        </w:tc>
        <w:tc>
          <w:tcPr>
            <w:tcW w:w="1560" w:type="dxa"/>
            <w:noWrap/>
            <w:vAlign w:val="center"/>
          </w:tcPr>
          <w:p>
            <w:pPr>
              <w:widowControl/>
              <w:jc w:val="center"/>
              <w:textAlignment w:val="center"/>
              <w:rPr>
                <w:rFonts w:ascii="仿宋" w:hAnsi="仿宋" w:eastAsia="仿宋"/>
                <w:color w:val="333333"/>
                <w:sz w:val="24"/>
                <w:szCs w:val="24"/>
              </w:rPr>
            </w:pPr>
            <w:r>
              <w:rPr>
                <w:rFonts w:hint="eastAsia" w:ascii="仿宋" w:hAnsi="仿宋" w:eastAsia="仿宋" w:cs="仿宋"/>
                <w:color w:val="333333"/>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noWrap/>
            <w:vAlign w:val="center"/>
          </w:tcPr>
          <w:p>
            <w:pPr>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产出成本</w:t>
            </w:r>
          </w:p>
          <w:p>
            <w:pPr>
              <w:jc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（C4）（2%）</w:t>
            </w:r>
          </w:p>
        </w:tc>
        <w:tc>
          <w:tcPr>
            <w:tcW w:w="3819" w:type="dxa"/>
            <w:noWrap/>
            <w:vAlign w:val="center"/>
          </w:tcPr>
          <w:p>
            <w:pPr>
              <w:widowControl/>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工程建设成本可控性（C4-1）</w:t>
            </w:r>
          </w:p>
        </w:tc>
        <w:tc>
          <w:tcPr>
            <w:tcW w:w="1560" w:type="dxa"/>
            <w:noWrap/>
            <w:vAlign w:val="center"/>
          </w:tcPr>
          <w:p>
            <w:pPr>
              <w:widowControl/>
              <w:jc w:val="center"/>
              <w:textAlignment w:val="center"/>
              <w:rPr>
                <w:rFonts w:ascii="仿宋" w:hAnsi="仿宋" w:eastAsia="仿宋"/>
                <w:color w:val="333333"/>
                <w:sz w:val="24"/>
                <w:szCs w:val="24"/>
              </w:rPr>
            </w:pPr>
            <w:r>
              <w:rPr>
                <w:rFonts w:hint="eastAsia" w:ascii="仿宋" w:hAnsi="仿宋" w:eastAsia="仿宋"/>
                <w:color w:val="333333"/>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noWrap/>
            <w:vAlign w:val="center"/>
          </w:tcPr>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效益（D）（30%）</w:t>
            </w:r>
          </w:p>
        </w:tc>
        <w:tc>
          <w:tcPr>
            <w:tcW w:w="1663" w:type="dxa"/>
            <w:vMerge w:val="restart"/>
            <w:noWrap/>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社会效益</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（D1）（20%）</w:t>
            </w: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提升城区防汛治洪能力（D1-1）</w:t>
            </w:r>
          </w:p>
        </w:tc>
        <w:tc>
          <w:tcPr>
            <w:tcW w:w="1560" w:type="dxa"/>
            <w:noWrap/>
            <w:vAlign w:val="center"/>
          </w:tcPr>
          <w:p>
            <w:pPr>
              <w:widowControl/>
              <w:jc w:val="center"/>
              <w:textAlignment w:val="center"/>
              <w:rPr>
                <w:rFonts w:ascii="仿宋" w:hAnsi="仿宋" w:eastAsia="仿宋"/>
                <w:color w:val="333333"/>
                <w:sz w:val="24"/>
                <w:szCs w:val="24"/>
              </w:rPr>
            </w:pPr>
            <w:r>
              <w:rPr>
                <w:rFonts w:hint="eastAsia" w:ascii="仿宋" w:hAnsi="仿宋" w:eastAsia="仿宋"/>
                <w:color w:val="333333"/>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改善城市生态环境（D1-2）</w:t>
            </w:r>
          </w:p>
        </w:tc>
        <w:tc>
          <w:tcPr>
            <w:tcW w:w="1560" w:type="dxa"/>
            <w:noWrap/>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vMerge w:val="continue"/>
            <w:noWrap/>
            <w:vAlign w:val="center"/>
          </w:tcPr>
          <w:p>
            <w:pPr>
              <w:jc w:val="center"/>
              <w:rPr>
                <w:rFonts w:ascii="仿宋" w:hAnsi="仿宋" w:eastAsia="仿宋" w:cs="宋体"/>
                <w:color w:val="000000"/>
                <w:kern w:val="0"/>
                <w:sz w:val="24"/>
                <w:szCs w:val="24"/>
              </w:rPr>
            </w:pP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提高群众幸福感（D1-3）</w:t>
            </w:r>
          </w:p>
        </w:tc>
        <w:tc>
          <w:tcPr>
            <w:tcW w:w="1560" w:type="dxa"/>
            <w:noWrap/>
            <w:vAlign w:val="center"/>
          </w:tcPr>
          <w:p>
            <w:pPr>
              <w:widowControl/>
              <w:jc w:val="center"/>
              <w:textAlignment w:val="center"/>
              <w:rPr>
                <w:rFonts w:ascii="仿宋" w:hAnsi="仿宋" w:eastAsia="仿宋"/>
                <w:color w:val="333333"/>
                <w:sz w:val="24"/>
                <w:szCs w:val="24"/>
              </w:rPr>
            </w:pPr>
            <w:r>
              <w:rPr>
                <w:rFonts w:hint="eastAsia" w:ascii="仿宋" w:hAnsi="仿宋" w:eastAsia="仿宋" w:cs="仿宋"/>
                <w:color w:val="333333"/>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noWrap/>
            <w:vAlign w:val="center"/>
          </w:tcPr>
          <w:p>
            <w:pPr>
              <w:jc w:val="center"/>
              <w:rPr>
                <w:rFonts w:ascii="仿宋" w:hAnsi="仿宋" w:eastAsia="仿宋" w:cs="宋体"/>
                <w:color w:val="000000"/>
                <w:kern w:val="0"/>
                <w:sz w:val="24"/>
                <w:szCs w:val="24"/>
              </w:rPr>
            </w:pPr>
          </w:p>
        </w:tc>
        <w:tc>
          <w:tcPr>
            <w:tcW w:w="1663" w:type="dxa"/>
            <w:noWrap/>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满意度</w:t>
            </w:r>
          </w:p>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（D2）（10%）</w:t>
            </w:r>
          </w:p>
        </w:tc>
        <w:tc>
          <w:tcPr>
            <w:tcW w:w="3819" w:type="dxa"/>
            <w:noWrap/>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受益对象满意度（D2-1）</w:t>
            </w:r>
          </w:p>
        </w:tc>
        <w:tc>
          <w:tcPr>
            <w:tcW w:w="1560" w:type="dxa"/>
            <w:noWrap/>
            <w:vAlign w:val="center"/>
          </w:tcPr>
          <w:p>
            <w:pPr>
              <w:widowControl/>
              <w:jc w:val="center"/>
              <w:textAlignment w:val="center"/>
              <w:rPr>
                <w:rFonts w:ascii="仿宋" w:hAnsi="仿宋" w:eastAsia="仿宋"/>
                <w:color w:val="333333"/>
                <w:sz w:val="24"/>
                <w:szCs w:val="24"/>
              </w:rPr>
            </w:pPr>
            <w:r>
              <w:rPr>
                <w:rFonts w:hint="eastAsia" w:ascii="仿宋" w:hAnsi="仿宋" w:eastAsia="仿宋" w:cs="仿宋"/>
                <w:color w:val="333333"/>
                <w:kern w:val="0"/>
                <w:sz w:val="24"/>
                <w:szCs w:val="24"/>
              </w:rPr>
              <w:t>10</w:t>
            </w:r>
          </w:p>
        </w:tc>
      </w:tr>
    </w:tbl>
    <w:p>
      <w:pPr>
        <w:spacing w:line="560" w:lineRule="exact"/>
        <w:ind w:firstLine="560" w:firstLineChars="200"/>
        <w:outlineLvl w:val="1"/>
        <w:rPr>
          <w:rFonts w:ascii="仿宋" w:hAnsi="仿宋" w:eastAsia="仿宋" w:cs="仿宋"/>
          <w:sz w:val="28"/>
          <w:szCs w:val="28"/>
        </w:rPr>
      </w:pPr>
      <w:bookmarkStart w:id="40" w:name="_Toc7369"/>
      <w:bookmarkStart w:id="41" w:name="_Toc14726"/>
      <w:r>
        <w:rPr>
          <w:rFonts w:hint="eastAsia" w:ascii="仿宋" w:hAnsi="仿宋" w:eastAsia="仿宋" w:cs="仿宋"/>
          <w:sz w:val="28"/>
          <w:szCs w:val="28"/>
        </w:rPr>
        <w:t>（四）评价方法</w:t>
      </w:r>
      <w:bookmarkEnd w:id="40"/>
      <w:bookmarkEnd w:id="41"/>
    </w:p>
    <w:p>
      <w:pPr>
        <w:pStyle w:val="19"/>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在评价工作开展过程中运用的方法主要为：</w:t>
      </w:r>
    </w:p>
    <w:p>
      <w:pPr>
        <w:pStyle w:val="19"/>
        <w:spacing w:line="560" w:lineRule="exact"/>
        <w:ind w:firstLine="560"/>
        <w:outlineLvl w:val="2"/>
        <w:rPr>
          <w:rFonts w:ascii="仿宋" w:hAnsi="仿宋" w:eastAsia="仿宋" w:cs="仿宋"/>
          <w:bCs/>
          <w:kern w:val="0"/>
          <w:sz w:val="28"/>
          <w:szCs w:val="28"/>
        </w:rPr>
      </w:pPr>
      <w:bookmarkStart w:id="42" w:name="_Toc14733"/>
      <w:r>
        <w:rPr>
          <w:rFonts w:hint="eastAsia" w:ascii="仿宋" w:hAnsi="仿宋" w:eastAsia="仿宋" w:cs="仿宋"/>
          <w:bCs/>
          <w:kern w:val="0"/>
          <w:sz w:val="28"/>
          <w:szCs w:val="28"/>
        </w:rPr>
        <w:t>1.比较分析法</w:t>
      </w:r>
      <w:bookmarkEnd w:id="42"/>
    </w:p>
    <w:p>
      <w:pPr>
        <w:pStyle w:val="19"/>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评价组通过实地走访项目实施单位，详细了解项目的具体情况，并依据了解到的情况和取得的项目文件对该项目作出评分。评价组在评分过程中，通过比较绩效目标与实施效果，确定项目绩效目标实现程度。</w:t>
      </w:r>
    </w:p>
    <w:p>
      <w:pPr>
        <w:pStyle w:val="19"/>
        <w:spacing w:line="560" w:lineRule="exact"/>
        <w:ind w:firstLine="560"/>
        <w:outlineLvl w:val="2"/>
        <w:rPr>
          <w:rFonts w:ascii="仿宋" w:hAnsi="仿宋" w:eastAsia="仿宋" w:cs="仿宋"/>
          <w:bCs/>
          <w:kern w:val="0"/>
          <w:sz w:val="28"/>
          <w:szCs w:val="28"/>
        </w:rPr>
      </w:pPr>
      <w:bookmarkStart w:id="43" w:name="_Toc19802"/>
      <w:r>
        <w:rPr>
          <w:rFonts w:hint="eastAsia" w:ascii="仿宋" w:hAnsi="仿宋" w:eastAsia="仿宋" w:cs="仿宋"/>
          <w:bCs/>
          <w:kern w:val="0"/>
          <w:sz w:val="28"/>
          <w:szCs w:val="28"/>
        </w:rPr>
        <w:t>2.公众评判法</w:t>
      </w:r>
      <w:bookmarkEnd w:id="43"/>
    </w:p>
    <w:p>
      <w:pPr>
        <w:pStyle w:val="19"/>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项目组通过对受益群众发放调查问卷的方式，获取受益群众对项目满意度的评价资料，从而对该项目的满意度进行评价。</w:t>
      </w:r>
    </w:p>
    <w:p>
      <w:pPr>
        <w:pStyle w:val="19"/>
        <w:spacing w:line="560" w:lineRule="exact"/>
        <w:ind w:firstLine="560"/>
        <w:outlineLvl w:val="2"/>
        <w:rPr>
          <w:rFonts w:ascii="仿宋" w:hAnsi="仿宋" w:eastAsia="仿宋"/>
          <w:color w:val="000000"/>
          <w:sz w:val="28"/>
          <w:szCs w:val="28"/>
        </w:rPr>
      </w:pPr>
      <w:bookmarkStart w:id="44" w:name="_Toc21272"/>
      <w:r>
        <w:rPr>
          <w:rFonts w:hint="eastAsia" w:ascii="仿宋" w:hAnsi="仿宋" w:eastAsia="仿宋"/>
          <w:color w:val="000000"/>
          <w:sz w:val="28"/>
          <w:szCs w:val="28"/>
        </w:rPr>
        <w:t>3.因素分析法</w:t>
      </w:r>
      <w:bookmarkEnd w:id="44"/>
    </w:p>
    <w:p>
      <w:pPr>
        <w:pStyle w:val="19"/>
        <w:spacing w:line="560" w:lineRule="exact"/>
        <w:ind w:firstLine="560"/>
        <w:rPr>
          <w:rFonts w:ascii="仿宋" w:hAnsi="仿宋" w:eastAsia="仿宋"/>
          <w:color w:val="000000"/>
          <w:sz w:val="28"/>
          <w:szCs w:val="28"/>
        </w:rPr>
      </w:pPr>
      <w:r>
        <w:rPr>
          <w:rFonts w:hint="eastAsia" w:ascii="仿宋" w:hAnsi="仿宋" w:eastAsia="仿宋"/>
          <w:color w:val="000000"/>
          <w:sz w:val="28"/>
          <w:szCs w:val="28"/>
        </w:rPr>
        <w:t>评价组</w:t>
      </w:r>
      <w:r>
        <w:rPr>
          <w:rFonts w:ascii="仿宋" w:hAnsi="仿宋" w:eastAsia="仿宋"/>
          <w:color w:val="000000"/>
          <w:sz w:val="28"/>
          <w:szCs w:val="28"/>
        </w:rPr>
        <w:t>通过综合分析影响绩效目标实现、实施效果的内外因素，评价绩效目标的实现程度。</w:t>
      </w:r>
    </w:p>
    <w:p>
      <w:pPr>
        <w:pStyle w:val="4"/>
        <w:spacing w:line="560" w:lineRule="exact"/>
        <w:ind w:firstLine="560"/>
      </w:pPr>
      <w:bookmarkStart w:id="45" w:name="_Toc16415"/>
      <w:bookmarkStart w:id="46" w:name="_Toc31754"/>
      <w:r>
        <w:rPr>
          <w:rFonts w:hint="eastAsia"/>
        </w:rPr>
        <w:t>（五）绩效评价工作组及人员分工</w:t>
      </w:r>
      <w:bookmarkEnd w:id="45"/>
      <w:bookmarkEnd w:id="46"/>
    </w:p>
    <w:p>
      <w:pPr>
        <w:spacing w:line="560" w:lineRule="exac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评价组分为领导组和工作组。领导组主要负责评价方案的制定，评价人员的组织培训、实施过程的组织协调和督导、报告的复核等。具体人员及分工见下表：</w:t>
      </w:r>
    </w:p>
    <w:tbl>
      <w:tblPr>
        <w:tblStyle w:val="11"/>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140"/>
        <w:gridCol w:w="1424"/>
        <w:gridCol w:w="1559"/>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2"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　项目</w:t>
            </w:r>
          </w:p>
        </w:tc>
        <w:tc>
          <w:tcPr>
            <w:tcW w:w="1140" w:type="dxa"/>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姓名</w:t>
            </w:r>
          </w:p>
        </w:tc>
        <w:tc>
          <w:tcPr>
            <w:tcW w:w="1424" w:type="dxa"/>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职务</w:t>
            </w:r>
          </w:p>
        </w:tc>
        <w:tc>
          <w:tcPr>
            <w:tcW w:w="1559" w:type="dxa"/>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职称</w:t>
            </w:r>
          </w:p>
        </w:tc>
        <w:tc>
          <w:tcPr>
            <w:tcW w:w="3686" w:type="dxa"/>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2"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主评人</w:t>
            </w:r>
          </w:p>
        </w:tc>
        <w:tc>
          <w:tcPr>
            <w:tcW w:w="1140"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李建岭</w:t>
            </w:r>
          </w:p>
        </w:tc>
        <w:tc>
          <w:tcPr>
            <w:tcW w:w="1424"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事务所所长</w:t>
            </w:r>
          </w:p>
        </w:tc>
        <w:tc>
          <w:tcPr>
            <w:tcW w:w="1559" w:type="dxa"/>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w:t>
            </w:r>
          </w:p>
        </w:tc>
        <w:tc>
          <w:tcPr>
            <w:tcW w:w="3686"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负责统筹协调，对主要绩效评价指标及评价情况进行复核。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2"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主评人</w:t>
            </w:r>
          </w:p>
        </w:tc>
        <w:tc>
          <w:tcPr>
            <w:tcW w:w="1140"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杨霞</w:t>
            </w:r>
          </w:p>
        </w:tc>
        <w:tc>
          <w:tcPr>
            <w:tcW w:w="1424"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事务所副所长</w:t>
            </w:r>
          </w:p>
        </w:tc>
        <w:tc>
          <w:tcPr>
            <w:tcW w:w="1559" w:type="dxa"/>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注册会计师、注册评估师</w:t>
            </w:r>
          </w:p>
        </w:tc>
        <w:tc>
          <w:tcPr>
            <w:tcW w:w="3686" w:type="dxa"/>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负责绩效评价项目的组织实施、报告复核，对绩效评价工作质量负责。</w:t>
            </w:r>
          </w:p>
        </w:tc>
      </w:tr>
    </w:tbl>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工作组主要负责现场核实及报告编写，包括收集相关的制度文件、核实财务资料，开展问卷调查等工作。具体人员及分工见下表：</w:t>
      </w:r>
    </w:p>
    <w:tbl>
      <w:tblPr>
        <w:tblStyle w:val="11"/>
        <w:tblW w:w="8793" w:type="dxa"/>
        <w:jc w:val="center"/>
        <w:tblLayout w:type="fixed"/>
        <w:tblCellMar>
          <w:top w:w="0" w:type="dxa"/>
          <w:left w:w="108" w:type="dxa"/>
          <w:bottom w:w="0" w:type="dxa"/>
          <w:right w:w="108" w:type="dxa"/>
        </w:tblCellMar>
      </w:tblPr>
      <w:tblGrid>
        <w:gridCol w:w="1281"/>
        <w:gridCol w:w="1134"/>
        <w:gridCol w:w="1275"/>
        <w:gridCol w:w="1701"/>
        <w:gridCol w:w="3402"/>
      </w:tblGrid>
      <w:tr>
        <w:tblPrEx>
          <w:tblCellMar>
            <w:top w:w="0" w:type="dxa"/>
            <w:left w:w="108" w:type="dxa"/>
            <w:bottom w:w="0" w:type="dxa"/>
            <w:right w:w="108" w:type="dxa"/>
          </w:tblCellMar>
        </w:tblPrEx>
        <w:trPr>
          <w:trHeight w:val="397" w:hRule="atLeast"/>
          <w:jc w:val="center"/>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　项目</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姓名</w:t>
            </w:r>
          </w:p>
        </w:tc>
        <w:tc>
          <w:tcPr>
            <w:tcW w:w="1275"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资格</w:t>
            </w:r>
          </w:p>
        </w:tc>
        <w:tc>
          <w:tcPr>
            <w:tcW w:w="1701" w:type="dxa"/>
            <w:tcBorders>
              <w:top w:val="single" w:color="auto" w:sz="4" w:space="0"/>
              <w:left w:val="nil"/>
              <w:bottom w:val="single" w:color="auto" w:sz="4" w:space="0"/>
              <w:right w:val="single" w:color="auto" w:sz="4" w:space="0"/>
            </w:tcBorders>
            <w:noWrap/>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职称</w:t>
            </w:r>
          </w:p>
        </w:tc>
        <w:tc>
          <w:tcPr>
            <w:tcW w:w="340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职责分工</w:t>
            </w:r>
          </w:p>
        </w:tc>
      </w:tr>
      <w:tr>
        <w:tblPrEx>
          <w:tblCellMar>
            <w:top w:w="0" w:type="dxa"/>
            <w:left w:w="108" w:type="dxa"/>
            <w:bottom w:w="0" w:type="dxa"/>
            <w:right w:w="108" w:type="dxa"/>
          </w:tblCellMar>
        </w:tblPrEx>
        <w:trPr>
          <w:trHeight w:val="397" w:hRule="atLeast"/>
          <w:jc w:val="center"/>
        </w:trPr>
        <w:tc>
          <w:tcPr>
            <w:tcW w:w="1281"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主评人</w:t>
            </w:r>
          </w:p>
        </w:tc>
        <w:tc>
          <w:tcPr>
            <w:tcW w:w="11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程海潮</w:t>
            </w:r>
          </w:p>
        </w:tc>
        <w:tc>
          <w:tcPr>
            <w:tcW w:w="1275" w:type="dxa"/>
            <w:tcBorders>
              <w:top w:val="nil"/>
              <w:left w:val="nil"/>
              <w:bottom w:val="single" w:color="auto" w:sz="4" w:space="0"/>
              <w:right w:val="single" w:color="auto" w:sz="4" w:space="0"/>
            </w:tcBorders>
            <w:noWrap/>
            <w:vAlign w:val="center"/>
          </w:tcPr>
          <w:p>
            <w:pPr>
              <w:rPr>
                <w:rFonts w:ascii="仿宋" w:hAnsi="仿宋" w:eastAsia="仿宋" w:cs="宋体"/>
                <w:kern w:val="0"/>
                <w:sz w:val="24"/>
                <w:szCs w:val="24"/>
              </w:rPr>
            </w:pPr>
            <w:r>
              <w:rPr>
                <w:rFonts w:hint="eastAsia" w:ascii="仿宋" w:hAnsi="仿宋" w:eastAsia="仿宋" w:cs="宋体"/>
                <w:kern w:val="0"/>
                <w:sz w:val="24"/>
                <w:szCs w:val="24"/>
              </w:rPr>
              <w:t>项目经理</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w:t>
            </w:r>
          </w:p>
        </w:tc>
        <w:tc>
          <w:tcPr>
            <w:tcW w:w="3402"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负责绩效评价报告初步编写、指导助理人员完成绩效工作。</w:t>
            </w:r>
          </w:p>
        </w:tc>
      </w:tr>
      <w:tr>
        <w:tblPrEx>
          <w:tblCellMar>
            <w:top w:w="0" w:type="dxa"/>
            <w:left w:w="108" w:type="dxa"/>
            <w:bottom w:w="0" w:type="dxa"/>
            <w:right w:w="108" w:type="dxa"/>
          </w:tblCellMar>
        </w:tblPrEx>
        <w:trPr>
          <w:trHeight w:val="397" w:hRule="atLeast"/>
          <w:jc w:val="center"/>
        </w:trPr>
        <w:tc>
          <w:tcPr>
            <w:tcW w:w="1281"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成员</w:t>
            </w:r>
          </w:p>
        </w:tc>
        <w:tc>
          <w:tcPr>
            <w:tcW w:w="11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王建卫</w:t>
            </w:r>
          </w:p>
        </w:tc>
        <w:tc>
          <w:tcPr>
            <w:tcW w:w="1275" w:type="dxa"/>
            <w:tcBorders>
              <w:top w:val="nil"/>
              <w:left w:val="nil"/>
              <w:bottom w:val="single" w:color="auto" w:sz="4" w:space="0"/>
              <w:right w:val="single" w:color="auto" w:sz="4" w:space="0"/>
            </w:tcBorders>
            <w:noWrap/>
            <w:vAlign w:val="center"/>
          </w:tcPr>
          <w:p>
            <w:pPr>
              <w:rPr>
                <w:rFonts w:ascii="仿宋" w:hAnsi="仿宋" w:eastAsia="仿宋" w:cs="宋体"/>
                <w:kern w:val="0"/>
                <w:sz w:val="24"/>
                <w:szCs w:val="24"/>
              </w:rPr>
            </w:pPr>
            <w:r>
              <w:rPr>
                <w:rFonts w:hint="eastAsia" w:ascii="仿宋" w:hAnsi="仿宋" w:eastAsia="仿宋" w:cs="宋体"/>
                <w:kern w:val="0"/>
                <w:sz w:val="24"/>
                <w:szCs w:val="24"/>
              </w:rPr>
              <w:t>项目经理</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注册会计师、中级会计师</w:t>
            </w:r>
          </w:p>
        </w:tc>
        <w:tc>
          <w:tcPr>
            <w:tcW w:w="3402"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负责绩效评价报告初步编写、指导助理人员完成绩效工作。</w:t>
            </w:r>
          </w:p>
        </w:tc>
      </w:tr>
      <w:tr>
        <w:tblPrEx>
          <w:tblCellMar>
            <w:top w:w="0" w:type="dxa"/>
            <w:left w:w="108" w:type="dxa"/>
            <w:bottom w:w="0" w:type="dxa"/>
            <w:right w:w="108" w:type="dxa"/>
          </w:tblCellMar>
        </w:tblPrEx>
        <w:trPr>
          <w:trHeight w:val="397" w:hRule="atLeast"/>
          <w:jc w:val="center"/>
        </w:trPr>
        <w:tc>
          <w:tcPr>
            <w:tcW w:w="1281"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成员</w:t>
            </w:r>
          </w:p>
        </w:tc>
        <w:tc>
          <w:tcPr>
            <w:tcW w:w="11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王飞</w:t>
            </w:r>
          </w:p>
        </w:tc>
        <w:tc>
          <w:tcPr>
            <w:tcW w:w="1275" w:type="dxa"/>
            <w:tcBorders>
              <w:top w:val="nil"/>
              <w:left w:val="nil"/>
              <w:bottom w:val="single" w:color="auto" w:sz="4" w:space="0"/>
              <w:right w:val="single" w:color="auto" w:sz="4" w:space="0"/>
            </w:tcBorders>
            <w:noWrap/>
            <w:vAlign w:val="center"/>
          </w:tcPr>
          <w:p>
            <w:pPr>
              <w:rPr>
                <w:rFonts w:ascii="仿宋" w:hAnsi="仿宋" w:eastAsia="仿宋" w:cs="宋体"/>
                <w:kern w:val="0"/>
                <w:sz w:val="24"/>
                <w:szCs w:val="24"/>
              </w:rPr>
            </w:pPr>
            <w:r>
              <w:rPr>
                <w:rFonts w:hint="eastAsia" w:ascii="仿宋" w:hAnsi="仿宋" w:eastAsia="仿宋" w:cs="宋体"/>
                <w:kern w:val="0"/>
                <w:sz w:val="24"/>
                <w:szCs w:val="24"/>
              </w:rPr>
              <w:t>助理人员</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中级会计师</w:t>
            </w:r>
          </w:p>
        </w:tc>
        <w:tc>
          <w:tcPr>
            <w:tcW w:w="3402"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绩效评价资料收集整理、分析。</w:t>
            </w:r>
          </w:p>
        </w:tc>
      </w:tr>
      <w:tr>
        <w:tblPrEx>
          <w:tblCellMar>
            <w:top w:w="0" w:type="dxa"/>
            <w:left w:w="108" w:type="dxa"/>
            <w:bottom w:w="0" w:type="dxa"/>
            <w:right w:w="108" w:type="dxa"/>
          </w:tblCellMar>
        </w:tblPrEx>
        <w:trPr>
          <w:trHeight w:val="397" w:hRule="atLeast"/>
          <w:jc w:val="center"/>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成员</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常誉方</w:t>
            </w:r>
          </w:p>
        </w:tc>
        <w:tc>
          <w:tcPr>
            <w:tcW w:w="127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宋体"/>
                <w:kern w:val="0"/>
                <w:sz w:val="24"/>
                <w:szCs w:val="24"/>
              </w:rPr>
            </w:pPr>
            <w:r>
              <w:rPr>
                <w:rFonts w:hint="eastAsia" w:ascii="仿宋" w:hAnsi="仿宋" w:eastAsia="仿宋" w:cs="宋体"/>
                <w:kern w:val="0"/>
                <w:sz w:val="24"/>
                <w:szCs w:val="24"/>
              </w:rPr>
              <w:t>助理人员</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初级会计师</w:t>
            </w:r>
          </w:p>
        </w:tc>
        <w:tc>
          <w:tcPr>
            <w:tcW w:w="340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负责社会调查、资料收集及核实。</w:t>
            </w:r>
          </w:p>
        </w:tc>
      </w:tr>
    </w:tbl>
    <w:p>
      <w:pPr>
        <w:pStyle w:val="4"/>
        <w:spacing w:line="560" w:lineRule="exact"/>
        <w:ind w:firstLine="560"/>
      </w:pPr>
      <w:bookmarkStart w:id="47" w:name="_Toc7689"/>
      <w:bookmarkStart w:id="48" w:name="_Toc31028"/>
      <w:r>
        <w:rPr>
          <w:rFonts w:hint="eastAsia"/>
        </w:rPr>
        <w:t>（六）绩效评价工作过程</w:t>
      </w:r>
      <w:bookmarkEnd w:id="47"/>
      <w:bookmarkEnd w:id="48"/>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本次绩效评价实施过程分为绩效评价前期准备、现场实施、绩效评价报告撰写和提交三个阶段。绩效评价工作于2021年8月25日开始，前期通过审阅有关项目资料、进行访谈等方式搜集整理资料，编制绩效评价工作方案。在此基础上，通过实施下列工作流程，完成评价工作：</w:t>
      </w:r>
    </w:p>
    <w:p>
      <w:pPr>
        <w:spacing w:line="560" w:lineRule="exact"/>
        <w:ind w:firstLine="560" w:firstLineChars="200"/>
        <w:outlineLvl w:val="2"/>
        <w:rPr>
          <w:rFonts w:ascii="仿宋" w:hAnsi="仿宋" w:eastAsia="仿宋"/>
          <w:color w:val="000000"/>
          <w:sz w:val="28"/>
          <w:szCs w:val="28"/>
        </w:rPr>
      </w:pPr>
      <w:bookmarkStart w:id="49" w:name="_Toc7335"/>
      <w:r>
        <w:rPr>
          <w:rFonts w:hint="eastAsia" w:ascii="仿宋" w:hAnsi="仿宋" w:eastAsia="仿宋"/>
          <w:color w:val="000000"/>
          <w:sz w:val="28"/>
          <w:szCs w:val="28"/>
        </w:rPr>
        <w:t>1、前期准备阶段（2021年8月25日-8月31日）</w:t>
      </w:r>
      <w:bookmarkEnd w:id="49"/>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本所接受临猗县财政局的委托，签订绩效评价业务约定书，成立了由主任会计师李建岭担任项目负责人的绩效评价工作组。工作组对参与此次绩效评价的工作人员进行了相关知识的学习和业务培训，召开了绩效评价工作会议，明确了此次绩效评价的基本事项，包括：项目基本情况、项目绩效目标；绩效评价的对象和内容；绩效评价的目的；委托方及绩效评价报告使用者和其他重要事项等。最后工作组通过审阅有关项目资料、进行访谈等方式搜集整理资料，编制了针对本项目的绩效评价工作方案，确定了评价指标体系与实施流程。</w:t>
      </w:r>
    </w:p>
    <w:p>
      <w:pPr>
        <w:spacing w:line="560" w:lineRule="exact"/>
        <w:ind w:firstLine="560" w:firstLineChars="200"/>
        <w:outlineLvl w:val="2"/>
        <w:rPr>
          <w:rFonts w:ascii="仿宋" w:hAnsi="仿宋" w:eastAsia="仿宋"/>
          <w:color w:val="000000"/>
          <w:sz w:val="28"/>
          <w:szCs w:val="28"/>
        </w:rPr>
      </w:pPr>
      <w:bookmarkStart w:id="50" w:name="_Toc6312"/>
      <w:r>
        <w:rPr>
          <w:rFonts w:hint="eastAsia" w:ascii="仿宋" w:hAnsi="仿宋" w:eastAsia="仿宋"/>
          <w:color w:val="000000"/>
          <w:sz w:val="28"/>
          <w:szCs w:val="28"/>
        </w:rPr>
        <w:t>2、绩效评价现场实施阶段（2021年9月1日-9月10日）</w:t>
      </w:r>
      <w:bookmarkEnd w:id="50"/>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根据项目特点，按照绩效评价方案，通过案卷审阅、访谈、实地复核、现场勘查等方法收集相关评价数据，对相关文件、资料、财务数据进行甄别、汇总、分析，结合绩效评价指标、权重、标准和方法进行定量定性分析和综合评价，形成评价结论。运用定量与定性结合的方法确定分值。具体工作包括：</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（1）数据采集</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工作组按照计划搜集涑水河临猗县城区段（滞洪区）配套工程项目建设立项审批、资金使用等相关的基础数据资料，并对其进行分类整理汇总、审查和分析。</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（2）现场工作</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在项目单位的配合下，根据所搜集的数据资料，开展现场勘察工作。首先查阅项目的实施方案、相关管理制度、</w:t>
      </w:r>
      <w:r>
        <w:rPr>
          <w:rFonts w:hint="eastAsia" w:ascii="仿宋" w:hAnsi="仿宋" w:eastAsia="仿宋" w:cs="仿宋_GB2312"/>
          <w:bCs/>
          <w:kern w:val="0"/>
          <w:sz w:val="28"/>
          <w:szCs w:val="28"/>
        </w:rPr>
        <w:t>可研设计、</w:t>
      </w:r>
      <w:r>
        <w:rPr>
          <w:rFonts w:hint="eastAsia" w:ascii="仿宋" w:hAnsi="仿宋" w:eastAsia="仿宋"/>
          <w:color w:val="000000"/>
          <w:sz w:val="28"/>
          <w:szCs w:val="28"/>
        </w:rPr>
        <w:t>工程招投标、工程施工合同、监理合同、设计合同等资料，其次对涑水河城区段滞洪区配套工程项目</w:t>
      </w:r>
      <w:r>
        <w:rPr>
          <w:rFonts w:hint="eastAsia" w:ascii="仿宋" w:hAnsi="仿宋" w:eastAsia="仿宋" w:cs="仿宋_GB2312"/>
          <w:bCs/>
          <w:kern w:val="0"/>
          <w:sz w:val="28"/>
          <w:szCs w:val="28"/>
        </w:rPr>
        <w:t>工程完工情况、绿化苗木、公厕及道路质量等进行实地勘察；</w:t>
      </w:r>
      <w:r>
        <w:rPr>
          <w:rFonts w:hint="eastAsia" w:ascii="仿宋" w:hAnsi="仿宋" w:eastAsia="仿宋"/>
          <w:color w:val="000000"/>
          <w:sz w:val="28"/>
          <w:szCs w:val="28"/>
        </w:rPr>
        <w:t>与群众进行沟通交流，</w:t>
      </w:r>
      <w:r>
        <w:rPr>
          <w:rFonts w:hint="eastAsia" w:ascii="仿宋" w:hAnsi="仿宋" w:eastAsia="仿宋" w:cs="仿宋_GB2312"/>
          <w:kern w:val="0"/>
          <w:sz w:val="28"/>
          <w:szCs w:val="28"/>
        </w:rPr>
        <w:t>获取项目受益对象对项目实施的评价信息</w:t>
      </w:r>
      <w:r>
        <w:rPr>
          <w:rFonts w:hint="eastAsia" w:ascii="仿宋" w:hAnsi="仿宋" w:eastAsia="仿宋"/>
          <w:color w:val="000000"/>
          <w:sz w:val="28"/>
          <w:szCs w:val="28"/>
        </w:rPr>
        <w:t>。</w:t>
      </w:r>
    </w:p>
    <w:p>
      <w:pPr>
        <w:spacing w:line="560" w:lineRule="exact"/>
        <w:ind w:firstLine="560" w:firstLineChars="200"/>
        <w:rPr>
          <w:rFonts w:ascii="宋体" w:hAnsi="宋体"/>
          <w:color w:val="000000"/>
          <w:sz w:val="24"/>
          <w:szCs w:val="24"/>
        </w:rPr>
      </w:pPr>
      <w:r>
        <w:rPr>
          <w:rFonts w:hint="eastAsia" w:ascii="仿宋" w:hAnsi="仿宋" w:eastAsia="仿宋"/>
          <w:color w:val="000000"/>
          <w:sz w:val="28"/>
          <w:szCs w:val="28"/>
        </w:rPr>
        <w:t>（3）社会调查</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工作组根据项目绩效评价思路和项目单位具体情况，设计调查问卷。工作组根据调查问卷的反馈结果进行统计分析，作为确定项目社会公众满意度的主要依据。</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（4）数据统计分析</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 xml:space="preserve">工作组根据绩效评价的原理和规定，结合项目的具体情况，根据被评价单位提供的数据和社会调查结果，对数据进行分析处理。比照绩效评价指标体系计分的标准，得出相应的分值，分析得失分的原因。 </w:t>
      </w:r>
    </w:p>
    <w:p>
      <w:pPr>
        <w:spacing w:line="560" w:lineRule="exact"/>
        <w:ind w:firstLine="560" w:firstLineChars="200"/>
        <w:outlineLvl w:val="2"/>
        <w:rPr>
          <w:rFonts w:ascii="仿宋" w:hAnsi="仿宋" w:eastAsia="仿宋"/>
          <w:color w:val="000000"/>
          <w:sz w:val="28"/>
          <w:szCs w:val="28"/>
        </w:rPr>
      </w:pPr>
      <w:bookmarkStart w:id="51" w:name="_Toc14918"/>
      <w:r>
        <w:rPr>
          <w:rFonts w:hint="eastAsia" w:ascii="仿宋" w:hAnsi="仿宋" w:eastAsia="仿宋"/>
          <w:color w:val="000000"/>
          <w:sz w:val="28"/>
          <w:szCs w:val="28"/>
        </w:rPr>
        <w:t>3、绩效评价报告撰写和提交阶段（2021年9月11日-9月24日）</w:t>
      </w:r>
      <w:bookmarkEnd w:id="51"/>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（1）根据各指标的评价结果及项目的整体评价结论，按绩效评价相关规定和绩效管理部门的要求撰写绩效评价报告；</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（2）与被评价方就绩效评价报告进行充分沟通并交换意见；</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（3）履行会计事务所内部三级复核程序；</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（4）提交绩效评价正式报告。</w:t>
      </w:r>
    </w:p>
    <w:p>
      <w:pPr>
        <w:ind w:firstLine="602" w:firstLineChars="200"/>
        <w:outlineLvl w:val="0"/>
        <w:rPr>
          <w:rFonts w:ascii="仿宋" w:hAnsi="仿宋" w:eastAsia="仿宋" w:cs="仿宋"/>
          <w:b/>
          <w:sz w:val="30"/>
          <w:szCs w:val="30"/>
        </w:rPr>
      </w:pPr>
      <w:bookmarkStart w:id="52" w:name="_Toc7340"/>
      <w:bookmarkStart w:id="53" w:name="_Toc31355"/>
      <w:bookmarkStart w:id="54" w:name="_Toc8016"/>
      <w:bookmarkStart w:id="55" w:name="_Toc27725"/>
      <w:bookmarkStart w:id="56" w:name="_Toc11313"/>
      <w:bookmarkStart w:id="57" w:name="_Toc411503818"/>
      <w:bookmarkStart w:id="58" w:name="_Toc29146"/>
      <w:r>
        <w:rPr>
          <w:rFonts w:hint="eastAsia" w:ascii="仿宋" w:hAnsi="仿宋" w:eastAsia="仿宋" w:cs="仿宋"/>
          <w:b/>
          <w:sz w:val="30"/>
          <w:szCs w:val="30"/>
        </w:rPr>
        <w:t>三、评价结论及绩效评价指标分析</w:t>
      </w:r>
      <w:bookmarkEnd w:id="52"/>
      <w:bookmarkEnd w:id="53"/>
      <w:bookmarkEnd w:id="54"/>
      <w:bookmarkEnd w:id="55"/>
      <w:bookmarkEnd w:id="56"/>
      <w:bookmarkEnd w:id="57"/>
      <w:bookmarkEnd w:id="58"/>
      <w:bookmarkStart w:id="59" w:name="_Toc27271"/>
      <w:bookmarkStart w:id="60" w:name="_Toc9828"/>
      <w:bookmarkStart w:id="61" w:name="_Toc3738"/>
      <w:bookmarkStart w:id="62" w:name="_Toc411503819"/>
      <w:bookmarkStart w:id="63" w:name="_Toc15830"/>
    </w:p>
    <w:p>
      <w:pPr>
        <w:pStyle w:val="4"/>
        <w:spacing w:line="560" w:lineRule="exact"/>
        <w:ind w:firstLine="560"/>
        <w:rPr>
          <w:rStyle w:val="20"/>
          <w:rFonts w:ascii="仿宋" w:hAnsi="仿宋" w:cs="仿宋"/>
          <w:b/>
          <w:bCs w:val="0"/>
          <w:szCs w:val="28"/>
        </w:rPr>
      </w:pPr>
      <w:bookmarkStart w:id="64" w:name="_Toc9641"/>
      <w:bookmarkStart w:id="65" w:name="_Toc22753"/>
      <w:r>
        <w:rPr>
          <w:rFonts w:hint="eastAsia"/>
        </w:rPr>
        <w:t>（一）评价结论</w:t>
      </w:r>
      <w:bookmarkEnd w:id="59"/>
      <w:bookmarkEnd w:id="60"/>
      <w:bookmarkEnd w:id="61"/>
      <w:bookmarkEnd w:id="62"/>
      <w:bookmarkEnd w:id="63"/>
      <w:bookmarkEnd w:id="64"/>
      <w:bookmarkEnd w:id="65"/>
    </w:p>
    <w:p>
      <w:pPr>
        <w:spacing w:line="560" w:lineRule="exact"/>
        <w:ind w:firstLine="560" w:firstLineChars="200"/>
        <w:rPr>
          <w:rFonts w:ascii="仿宋" w:hAnsi="仿宋" w:eastAsia="仿宋" w:cs="仿宋"/>
          <w:b/>
          <w:bCs/>
          <w:sz w:val="28"/>
          <w:szCs w:val="28"/>
        </w:rPr>
      </w:pPr>
      <w:r>
        <w:rPr>
          <w:rFonts w:hint="eastAsia" w:ascii="仿宋" w:hAnsi="仿宋" w:eastAsia="仿宋"/>
          <w:color w:val="000000"/>
          <w:sz w:val="28"/>
          <w:szCs w:val="28"/>
        </w:rPr>
        <w:t>绩效评价结果采用综合评分定级的方法，总分值为100分。绩效评级分“优”、“良”、“中”、“差”。最终绩效评价结果按照综合评分分级：</w:t>
      </w:r>
      <w:r>
        <w:rPr>
          <w:rFonts w:ascii="仿宋" w:hAnsi="仿宋" w:eastAsia="仿宋" w:cs="仿宋"/>
          <w:sz w:val="28"/>
          <w:szCs w:val="28"/>
        </w:rPr>
        <w:t>综合评分90</w:t>
      </w:r>
      <w:r>
        <w:rPr>
          <w:rFonts w:hint="eastAsia" w:ascii="仿宋" w:hAnsi="仿宋" w:eastAsia="仿宋" w:cs="仿宋"/>
          <w:sz w:val="28"/>
          <w:szCs w:val="28"/>
        </w:rPr>
        <w:t>（含）</w:t>
      </w:r>
      <w:r>
        <w:rPr>
          <w:rFonts w:ascii="仿宋" w:hAnsi="仿宋" w:eastAsia="仿宋" w:cs="仿宋"/>
          <w:sz w:val="28"/>
          <w:szCs w:val="28"/>
        </w:rPr>
        <w:t>-100分的为“优”，80</w:t>
      </w:r>
      <w:r>
        <w:rPr>
          <w:rFonts w:hint="eastAsia" w:ascii="仿宋" w:hAnsi="仿宋" w:eastAsia="仿宋" w:cs="仿宋"/>
          <w:sz w:val="28"/>
          <w:szCs w:val="28"/>
        </w:rPr>
        <w:t>（含）</w:t>
      </w:r>
      <w:r>
        <w:rPr>
          <w:rFonts w:ascii="仿宋" w:hAnsi="仿宋" w:eastAsia="仿宋" w:cs="仿宋"/>
          <w:sz w:val="28"/>
          <w:szCs w:val="28"/>
        </w:rPr>
        <w:t>-</w:t>
      </w:r>
      <w:r>
        <w:rPr>
          <w:rFonts w:hint="eastAsia" w:ascii="仿宋" w:hAnsi="仿宋" w:eastAsia="仿宋" w:cs="仿宋"/>
          <w:sz w:val="28"/>
          <w:szCs w:val="28"/>
        </w:rPr>
        <w:t>90</w:t>
      </w:r>
      <w:r>
        <w:rPr>
          <w:rFonts w:ascii="仿宋" w:hAnsi="仿宋" w:eastAsia="仿宋" w:cs="仿宋"/>
          <w:sz w:val="28"/>
          <w:szCs w:val="28"/>
        </w:rPr>
        <w:t>分的为“良”，60</w:t>
      </w:r>
      <w:r>
        <w:rPr>
          <w:rFonts w:hint="eastAsia" w:ascii="仿宋" w:hAnsi="仿宋" w:eastAsia="仿宋" w:cs="仿宋"/>
          <w:sz w:val="28"/>
          <w:szCs w:val="28"/>
        </w:rPr>
        <w:t>（含）</w:t>
      </w:r>
      <w:r>
        <w:rPr>
          <w:rFonts w:ascii="仿宋" w:hAnsi="仿宋" w:eastAsia="仿宋" w:cs="仿宋"/>
          <w:sz w:val="28"/>
          <w:szCs w:val="28"/>
        </w:rPr>
        <w:t>-</w:t>
      </w:r>
      <w:r>
        <w:rPr>
          <w:rFonts w:hint="eastAsia" w:ascii="仿宋" w:hAnsi="仿宋" w:eastAsia="仿宋" w:cs="仿宋"/>
          <w:sz w:val="28"/>
          <w:szCs w:val="28"/>
        </w:rPr>
        <w:t>80</w:t>
      </w:r>
      <w:r>
        <w:rPr>
          <w:rFonts w:ascii="仿宋" w:hAnsi="仿宋" w:eastAsia="仿宋" w:cs="仿宋"/>
          <w:sz w:val="28"/>
          <w:szCs w:val="28"/>
        </w:rPr>
        <w:t>分的为“中”，</w:t>
      </w:r>
      <w:r>
        <w:rPr>
          <w:rFonts w:hint="eastAsia" w:ascii="仿宋" w:hAnsi="仿宋" w:eastAsia="仿宋" w:cs="仿宋"/>
          <w:sz w:val="28"/>
          <w:szCs w:val="28"/>
        </w:rPr>
        <w:t>60</w:t>
      </w:r>
      <w:r>
        <w:rPr>
          <w:rFonts w:ascii="仿宋" w:hAnsi="仿宋" w:eastAsia="仿宋" w:cs="仿宋"/>
          <w:sz w:val="28"/>
          <w:szCs w:val="28"/>
        </w:rPr>
        <w:t>分以下的为“差”。</w:t>
      </w:r>
    </w:p>
    <w:p>
      <w:pPr>
        <w:spacing w:line="560" w:lineRule="exact"/>
        <w:ind w:firstLine="560" w:firstLineChars="200"/>
        <w:rPr>
          <w:rFonts w:ascii="仿宋" w:hAnsi="仿宋" w:eastAsia="仿宋" w:cs="仿宋"/>
          <w:szCs w:val="24"/>
        </w:rPr>
      </w:pPr>
      <w:r>
        <w:rPr>
          <w:rFonts w:hint="eastAsia" w:ascii="仿宋" w:hAnsi="仿宋" w:eastAsia="仿宋"/>
          <w:color w:val="000000"/>
          <w:sz w:val="28"/>
          <w:szCs w:val="28"/>
        </w:rPr>
        <w:t>评价组按照本项目绩效评价工作方案确定的绩效评价指标、评价标准和评价方法，在对评价对象的绩效情况进行定量和定性分析的基础上，经综合评价，本项目得分为79.34分，绩效评价等级为中。其中：决策类指标权重为20分，得分20分，得分率为100%；过程类指标权重为20分，实际得分15分，得分率75%；产出类指标权重为30分，</w:t>
      </w:r>
      <w:r>
        <w:rPr>
          <w:rFonts w:hint="eastAsia" w:ascii="仿宋" w:hAnsi="仿宋" w:eastAsia="仿宋" w:cs="仿宋"/>
          <w:bCs/>
          <w:sz w:val="28"/>
          <w:szCs w:val="28"/>
        </w:rPr>
        <w:t>实际得分21分，得分率70%</w:t>
      </w:r>
      <w:r>
        <w:rPr>
          <w:rFonts w:hint="eastAsia" w:ascii="仿宋" w:hAnsi="仿宋" w:eastAsia="仿宋"/>
          <w:color w:val="000000"/>
          <w:sz w:val="28"/>
          <w:szCs w:val="28"/>
        </w:rPr>
        <w:t>；效益类指标权重为30分，</w:t>
      </w:r>
      <w:r>
        <w:rPr>
          <w:rFonts w:hint="eastAsia" w:ascii="仿宋" w:hAnsi="仿宋" w:eastAsia="仿宋" w:cs="仿宋"/>
          <w:sz w:val="28"/>
          <w:szCs w:val="28"/>
        </w:rPr>
        <w:t>得分23.34分，得分率77.80%</w:t>
      </w:r>
      <w:r>
        <w:rPr>
          <w:rFonts w:hint="eastAsia" w:ascii="仿宋" w:hAnsi="仿宋" w:eastAsia="仿宋"/>
          <w:color w:val="000000"/>
          <w:sz w:val="28"/>
          <w:szCs w:val="28"/>
        </w:rPr>
        <w:t>。</w:t>
      </w:r>
    </w:p>
    <w:p>
      <w:pPr>
        <w:pStyle w:val="18"/>
        <w:spacing w:line="360" w:lineRule="auto"/>
        <w:ind w:firstLine="562"/>
        <w:rPr>
          <w:rFonts w:ascii="仿宋" w:hAnsi="仿宋" w:eastAsia="仿宋" w:cs="仿宋"/>
          <w:szCs w:val="24"/>
        </w:rPr>
      </w:pPr>
      <w:r>
        <w:rPr>
          <w:rFonts w:hint="eastAsia" w:ascii="仿宋" w:hAnsi="仿宋" w:eastAsia="仿宋" w:cs="仿宋"/>
          <w:szCs w:val="24"/>
        </w:rPr>
        <w:t>表3-1 项目绩效评价得分表</w:t>
      </w:r>
    </w:p>
    <w:tbl>
      <w:tblPr>
        <w:tblStyle w:val="1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75"/>
        <w:gridCol w:w="1455"/>
        <w:gridCol w:w="1395"/>
        <w:gridCol w:w="153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1185" w:type="dxa"/>
            <w:shd w:val="clear" w:color="auto" w:fill="FFFFFF"/>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指标</w:t>
            </w:r>
          </w:p>
        </w:tc>
        <w:tc>
          <w:tcPr>
            <w:tcW w:w="1575" w:type="dxa"/>
            <w:shd w:val="clear" w:color="auto" w:fill="FFFFFF"/>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A项目决策</w:t>
            </w:r>
          </w:p>
        </w:tc>
        <w:tc>
          <w:tcPr>
            <w:tcW w:w="1455" w:type="dxa"/>
            <w:shd w:val="clear" w:color="auto" w:fill="FFFFFF"/>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B项目过程</w:t>
            </w:r>
          </w:p>
        </w:tc>
        <w:tc>
          <w:tcPr>
            <w:tcW w:w="1395" w:type="dxa"/>
            <w:shd w:val="clear" w:color="auto" w:fill="FFFFFF"/>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C项目产出</w:t>
            </w:r>
          </w:p>
        </w:tc>
        <w:tc>
          <w:tcPr>
            <w:tcW w:w="1533" w:type="dxa"/>
            <w:shd w:val="clear" w:color="auto" w:fill="FFFFFF"/>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D项目效益</w:t>
            </w:r>
          </w:p>
        </w:tc>
        <w:tc>
          <w:tcPr>
            <w:tcW w:w="1377" w:type="dxa"/>
            <w:shd w:val="clear" w:color="auto" w:fill="FFFFFF"/>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权重</w:t>
            </w:r>
          </w:p>
        </w:tc>
        <w:tc>
          <w:tcPr>
            <w:tcW w:w="157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39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533"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377"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分值</w:t>
            </w:r>
          </w:p>
        </w:tc>
        <w:tc>
          <w:tcPr>
            <w:tcW w:w="157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15</w:t>
            </w:r>
          </w:p>
        </w:tc>
        <w:tc>
          <w:tcPr>
            <w:tcW w:w="139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21</w:t>
            </w:r>
          </w:p>
        </w:tc>
        <w:tc>
          <w:tcPr>
            <w:tcW w:w="1533"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23.34</w:t>
            </w:r>
          </w:p>
        </w:tc>
        <w:tc>
          <w:tcPr>
            <w:tcW w:w="1377"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jc w:val="center"/>
        </w:trPr>
        <w:tc>
          <w:tcPr>
            <w:tcW w:w="1185" w:type="dxa"/>
            <w:vAlign w:val="center"/>
          </w:tcPr>
          <w:p>
            <w:pPr>
              <w:pStyle w:val="18"/>
              <w:adjustRightInd w:val="0"/>
              <w:snapToGrid w:val="0"/>
              <w:spacing w:before="0" w:after="0"/>
              <w:rPr>
                <w:rFonts w:ascii="仿宋" w:hAnsi="仿宋" w:eastAsia="仿宋" w:cs="仿宋"/>
                <w:szCs w:val="24"/>
              </w:rPr>
            </w:pPr>
            <w:r>
              <w:rPr>
                <w:rFonts w:hint="eastAsia" w:ascii="仿宋" w:hAnsi="仿宋" w:eastAsia="仿宋" w:cs="仿宋"/>
                <w:szCs w:val="24"/>
              </w:rPr>
              <w:t>得分率</w:t>
            </w:r>
          </w:p>
        </w:tc>
        <w:tc>
          <w:tcPr>
            <w:tcW w:w="157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100.00%</w:t>
            </w:r>
          </w:p>
        </w:tc>
        <w:tc>
          <w:tcPr>
            <w:tcW w:w="1455"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75.00%</w:t>
            </w:r>
          </w:p>
        </w:tc>
        <w:tc>
          <w:tcPr>
            <w:tcW w:w="1395" w:type="dxa"/>
            <w:vAlign w:val="center"/>
          </w:tcPr>
          <w:p>
            <w:pPr>
              <w:pStyle w:val="18"/>
              <w:adjustRightInd w:val="0"/>
              <w:snapToGrid w:val="0"/>
              <w:spacing w:before="0" w:after="0"/>
              <w:ind w:firstLine="240" w:firstLineChars="100"/>
              <w:jc w:val="both"/>
              <w:rPr>
                <w:rFonts w:ascii="仿宋" w:hAnsi="仿宋" w:eastAsia="仿宋" w:cs="仿宋"/>
                <w:b w:val="0"/>
                <w:szCs w:val="24"/>
              </w:rPr>
            </w:pPr>
            <w:r>
              <w:rPr>
                <w:rFonts w:hint="eastAsia" w:ascii="仿宋" w:hAnsi="仿宋" w:eastAsia="仿宋" w:cs="仿宋"/>
                <w:b w:val="0"/>
                <w:szCs w:val="24"/>
              </w:rPr>
              <w:t>70.00%</w:t>
            </w:r>
          </w:p>
        </w:tc>
        <w:tc>
          <w:tcPr>
            <w:tcW w:w="1533"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77.80%</w:t>
            </w:r>
          </w:p>
        </w:tc>
        <w:tc>
          <w:tcPr>
            <w:tcW w:w="1377" w:type="dxa"/>
            <w:vAlign w:val="center"/>
          </w:tcPr>
          <w:p>
            <w:pPr>
              <w:pStyle w:val="18"/>
              <w:adjustRightInd w:val="0"/>
              <w:snapToGrid w:val="0"/>
              <w:spacing w:before="0" w:after="0"/>
              <w:rPr>
                <w:rFonts w:ascii="仿宋" w:hAnsi="仿宋" w:eastAsia="仿宋" w:cs="仿宋"/>
                <w:b w:val="0"/>
                <w:szCs w:val="24"/>
              </w:rPr>
            </w:pPr>
            <w:r>
              <w:rPr>
                <w:rFonts w:hint="eastAsia" w:ascii="仿宋" w:hAnsi="仿宋" w:eastAsia="仿宋" w:cs="仿宋"/>
                <w:b w:val="0"/>
                <w:szCs w:val="24"/>
              </w:rPr>
              <w:t>79.34%</w:t>
            </w:r>
          </w:p>
        </w:tc>
      </w:tr>
    </w:tbl>
    <w:p>
      <w:pPr>
        <w:pStyle w:val="4"/>
        <w:spacing w:line="560" w:lineRule="exact"/>
        <w:ind w:firstLine="560"/>
        <w:rPr>
          <w:b/>
        </w:rPr>
      </w:pPr>
      <w:bookmarkStart w:id="66" w:name="_Toc9832"/>
      <w:bookmarkStart w:id="67" w:name="_Toc30219"/>
      <w:r>
        <w:rPr>
          <w:rFonts w:hint="eastAsia"/>
        </w:rPr>
        <w:t>（二）绩效评价指标分析</w:t>
      </w:r>
      <w:bookmarkEnd w:id="66"/>
      <w:bookmarkEnd w:id="67"/>
    </w:p>
    <w:p>
      <w:pPr>
        <w:adjustRightInd w:val="0"/>
        <w:snapToGrid w:val="0"/>
        <w:spacing w:line="560" w:lineRule="exact"/>
        <w:ind w:firstLine="560" w:firstLineChars="200"/>
        <w:outlineLvl w:val="2"/>
        <w:rPr>
          <w:rFonts w:ascii="仿宋" w:hAnsi="仿宋" w:eastAsia="仿宋" w:cs="仿宋"/>
          <w:bCs/>
          <w:sz w:val="28"/>
          <w:szCs w:val="28"/>
        </w:rPr>
      </w:pPr>
      <w:bookmarkStart w:id="68" w:name="_Toc29994"/>
      <w:r>
        <w:rPr>
          <w:rFonts w:hint="eastAsia" w:ascii="仿宋" w:hAnsi="仿宋" w:eastAsia="仿宋" w:cs="仿宋"/>
          <w:bCs/>
          <w:sz w:val="28"/>
          <w:szCs w:val="28"/>
        </w:rPr>
        <w:t>1.决策类指标</w:t>
      </w:r>
      <w:bookmarkEnd w:id="68"/>
    </w:p>
    <w:p>
      <w:pPr>
        <w:pStyle w:val="21"/>
        <w:spacing w:line="560" w:lineRule="exact"/>
        <w:rPr>
          <w:rFonts w:ascii="仿宋" w:hAnsi="仿宋" w:eastAsia="仿宋" w:cs="仿宋"/>
        </w:rPr>
      </w:pPr>
      <w:r>
        <w:rPr>
          <w:rFonts w:hint="eastAsia" w:ascii="仿宋" w:hAnsi="仿宋" w:eastAsia="仿宋" w:cs="仿宋"/>
        </w:rPr>
        <w:t>决策类指标从立项依据充分性、立项程序规范性、绩效目标合理性、绩效指标明确性、预算编制科学性、资金分配合理性6个方面对项目的投入情况进行评价，投入类指标分值20分，实际得分20分，得分率100%。</w:t>
      </w:r>
    </w:p>
    <w:p>
      <w:pPr>
        <w:pStyle w:val="21"/>
        <w:spacing w:line="560" w:lineRule="exact"/>
        <w:rPr>
          <w:rFonts w:ascii="仿宋" w:hAnsi="仿宋" w:eastAsia="仿宋" w:cs="仿宋"/>
        </w:rPr>
      </w:pPr>
      <w:r>
        <w:rPr>
          <w:rFonts w:hint="eastAsia" w:ascii="仿宋" w:hAnsi="仿宋" w:eastAsia="仿宋" w:cs="仿宋"/>
        </w:rPr>
        <w:t>具体得分情况如下表所示：</w:t>
      </w:r>
    </w:p>
    <w:p>
      <w:pPr>
        <w:pStyle w:val="18"/>
        <w:spacing w:line="360" w:lineRule="auto"/>
        <w:rPr>
          <w:rFonts w:ascii="仿宋" w:hAnsi="仿宋" w:eastAsia="仿宋" w:cs="仿宋"/>
          <w:szCs w:val="24"/>
        </w:rPr>
      </w:pPr>
      <w:r>
        <w:rPr>
          <w:rFonts w:hint="eastAsia" w:ascii="仿宋" w:hAnsi="仿宋" w:eastAsia="仿宋" w:cs="仿宋"/>
          <w:szCs w:val="24"/>
        </w:rPr>
        <w:t>表3-2 项目决策类指标得分情况</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3826"/>
        <w:gridCol w:w="1009"/>
        <w:gridCol w:w="10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66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3826"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100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分值</w:t>
            </w:r>
          </w:p>
        </w:tc>
        <w:tc>
          <w:tcPr>
            <w:tcW w:w="100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w:t>
            </w:r>
          </w:p>
        </w:tc>
        <w:tc>
          <w:tcPr>
            <w:tcW w:w="100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69" w:type="dxa"/>
            <w:vMerge w:val="restart"/>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项目立项</w:t>
            </w:r>
          </w:p>
        </w:tc>
        <w:tc>
          <w:tcPr>
            <w:tcW w:w="3826" w:type="dxa"/>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A1-1立项依据充分性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continue"/>
            <w:vAlign w:val="center"/>
          </w:tcPr>
          <w:p>
            <w:pPr>
              <w:pStyle w:val="18"/>
              <w:spacing w:before="0" w:after="0" w:line="360" w:lineRule="auto"/>
              <w:rPr>
                <w:rFonts w:ascii="仿宋" w:hAnsi="仿宋" w:eastAsia="仿宋" w:cs="仿宋"/>
                <w:b w:val="0"/>
                <w:color w:val="000000"/>
                <w:szCs w:val="24"/>
              </w:rPr>
            </w:pPr>
          </w:p>
        </w:tc>
        <w:tc>
          <w:tcPr>
            <w:tcW w:w="3826" w:type="dxa"/>
          </w:tcPr>
          <w:p>
            <w:pPr>
              <w:pStyle w:val="18"/>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A1-2立项程序规范性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restart"/>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绩效目标</w:t>
            </w:r>
          </w:p>
        </w:tc>
        <w:tc>
          <w:tcPr>
            <w:tcW w:w="3826" w:type="dxa"/>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A2-1绩效目标合理性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continue"/>
            <w:vAlign w:val="center"/>
          </w:tcPr>
          <w:p>
            <w:pPr>
              <w:pStyle w:val="18"/>
              <w:spacing w:before="0" w:after="0" w:line="360" w:lineRule="auto"/>
              <w:rPr>
                <w:rFonts w:ascii="仿宋" w:hAnsi="仿宋" w:eastAsia="仿宋" w:cs="仿宋"/>
                <w:b w:val="0"/>
                <w:color w:val="000000"/>
                <w:szCs w:val="24"/>
              </w:rPr>
            </w:pPr>
          </w:p>
        </w:tc>
        <w:tc>
          <w:tcPr>
            <w:tcW w:w="3826" w:type="dxa"/>
          </w:tcPr>
          <w:p>
            <w:pPr>
              <w:pStyle w:val="18"/>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A2-2绩效指标明确性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restart"/>
            <w:vAlign w:val="center"/>
          </w:tcPr>
          <w:p>
            <w:pPr>
              <w:pStyle w:val="18"/>
              <w:spacing w:before="0" w:after="0" w:line="360" w:lineRule="auto"/>
              <w:rPr>
                <w:rFonts w:ascii="仿宋" w:hAnsi="仿宋" w:eastAsia="仿宋" w:cs="仿宋"/>
                <w:b w:val="0"/>
                <w:color w:val="000000"/>
                <w:sz w:val="21"/>
                <w:szCs w:val="21"/>
              </w:rPr>
            </w:pPr>
            <w:r>
              <w:rPr>
                <w:rFonts w:hint="eastAsia" w:ascii="仿宋" w:hAnsi="仿宋" w:eastAsia="仿宋" w:cs="仿宋"/>
                <w:b w:val="0"/>
                <w:color w:val="000000"/>
                <w:sz w:val="21"/>
                <w:szCs w:val="21"/>
              </w:rPr>
              <w:t>资金投入</w:t>
            </w:r>
          </w:p>
        </w:tc>
        <w:tc>
          <w:tcPr>
            <w:tcW w:w="3826" w:type="dxa"/>
          </w:tcPr>
          <w:p>
            <w:pPr>
              <w:pStyle w:val="18"/>
              <w:spacing w:before="0" w:after="0" w:line="360" w:lineRule="auto"/>
              <w:jc w:val="left"/>
              <w:rPr>
                <w:rFonts w:ascii="仿宋" w:hAnsi="仿宋" w:eastAsia="仿宋" w:cs="仿宋"/>
                <w:b w:val="0"/>
                <w:color w:val="000000"/>
                <w:sz w:val="21"/>
                <w:szCs w:val="21"/>
              </w:rPr>
            </w:pPr>
            <w:r>
              <w:rPr>
                <w:rFonts w:hint="eastAsia" w:ascii="仿宋" w:hAnsi="仿宋" w:eastAsia="仿宋" w:cs="仿宋"/>
                <w:b w:val="0"/>
                <w:color w:val="000000"/>
                <w:szCs w:val="24"/>
              </w:rPr>
              <w:t>A3-1 预算编制科学性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continue"/>
            <w:vAlign w:val="center"/>
          </w:tcPr>
          <w:p>
            <w:pPr>
              <w:pStyle w:val="18"/>
              <w:spacing w:before="0" w:after="0" w:line="360" w:lineRule="auto"/>
              <w:rPr>
                <w:rFonts w:ascii="仿宋" w:hAnsi="仿宋" w:eastAsia="仿宋" w:cs="仿宋"/>
                <w:b w:val="0"/>
                <w:color w:val="000000"/>
                <w:szCs w:val="24"/>
              </w:rPr>
            </w:pPr>
          </w:p>
        </w:tc>
        <w:tc>
          <w:tcPr>
            <w:tcW w:w="3826" w:type="dxa"/>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A3-2资金分配合理性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bl>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A1-1 立项依据充分性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项目立项依据：</w:t>
      </w:r>
    </w:p>
    <w:p>
      <w:pPr>
        <w:widowControl/>
        <w:adjustRightInd w:val="0"/>
        <w:snapToGrid w:val="0"/>
        <w:spacing w:line="560" w:lineRule="exact"/>
        <w:ind w:firstLine="560" w:firstLineChars="200"/>
        <w:jc w:val="left"/>
        <w:rPr>
          <w:rFonts w:ascii="仿宋" w:hAnsi="仿宋" w:eastAsia="仿宋"/>
          <w:sz w:val="28"/>
          <w:szCs w:val="28"/>
        </w:rPr>
      </w:pPr>
      <w:r>
        <w:rPr>
          <w:rFonts w:hint="eastAsia" w:ascii="仿宋" w:hAnsi="仿宋" w:eastAsia="仿宋" w:cs="仿宋"/>
          <w:sz w:val="28"/>
          <w:szCs w:val="28"/>
        </w:rPr>
        <w:t>临猗县发展和改革局下发《关于涑水河临猗县城区（滞洪区）配套工程可行性研究报告的批复》</w:t>
      </w:r>
      <w:r>
        <w:rPr>
          <w:rFonts w:hint="eastAsia" w:ascii="仿宋" w:hAnsi="仿宋" w:eastAsia="仿宋"/>
          <w:sz w:val="28"/>
          <w:szCs w:val="28"/>
        </w:rPr>
        <w:t>（临发改资环字〔2018〕第23号）；</w:t>
      </w:r>
    </w:p>
    <w:p>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临猗县发展和改革局下发《关于涑水河临猗县城区（滞洪区）配套工程初步设计的批复》（临发改资环字〔2018〕第63号）；</w:t>
      </w:r>
    </w:p>
    <w:p>
      <w:pPr>
        <w:widowControl/>
        <w:adjustRightInd w:val="0"/>
        <w:snapToGrid w:val="0"/>
        <w:spacing w:line="560" w:lineRule="exact"/>
        <w:ind w:firstLine="560" w:firstLineChars="200"/>
        <w:jc w:val="left"/>
        <w:rPr>
          <w:rFonts w:ascii="仿宋" w:hAnsi="仿宋" w:eastAsia="仿宋"/>
          <w:sz w:val="28"/>
          <w:szCs w:val="28"/>
        </w:rPr>
      </w:pPr>
      <w:r>
        <w:rPr>
          <w:rFonts w:hint="eastAsia" w:ascii="仿宋" w:hAnsi="仿宋" w:eastAsia="仿宋" w:cs="仿宋"/>
          <w:sz w:val="28"/>
          <w:szCs w:val="28"/>
        </w:rPr>
        <w:t>临猗县发展和改革局下发《关于临猗县涑水河城区段滞洪区配套工程人行道路汉白玉栏杆基础补强方案的批复》（临发改审批发</w:t>
      </w:r>
      <w:r>
        <w:rPr>
          <w:rFonts w:hint="eastAsia" w:ascii="仿宋" w:hAnsi="仿宋" w:eastAsia="仿宋"/>
          <w:sz w:val="28"/>
          <w:szCs w:val="28"/>
        </w:rPr>
        <w:t>〔2020〕31号）。</w:t>
      </w:r>
    </w:p>
    <w:p>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kern w:val="0"/>
          <w:sz w:val="28"/>
          <w:szCs w:val="28"/>
        </w:rPr>
        <w:t>综上所述，项目立项有相关文件支持，属于财政资金支持范围，项目立项依据充分。</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满分2分，根据绩效评价指标，本指标得分2分，得分率</w:t>
      </w:r>
      <w:r>
        <w:rPr>
          <w:rFonts w:ascii="仿宋" w:hAnsi="仿宋" w:eastAsia="仿宋" w:cs="仿宋"/>
          <w:kern w:val="0"/>
          <w:sz w:val="28"/>
          <w:szCs w:val="28"/>
        </w:rPr>
        <w:t>100%</w:t>
      </w:r>
      <w:r>
        <w:rPr>
          <w:rFonts w:hint="eastAsia" w:ascii="仿宋" w:hAnsi="仿宋" w:eastAsia="仿宋" w:cs="仿宋"/>
          <w:kern w:val="0"/>
          <w:sz w:val="28"/>
          <w:szCs w:val="28"/>
        </w:rPr>
        <w:t>。</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A1-2立项程序规范性</w:t>
      </w:r>
    </w:p>
    <w:p>
      <w:pPr>
        <w:widowControl/>
        <w:spacing w:line="56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经评价组核实，该项目立项已经县委、县政府、临猗县发改委审批通过，履行了相关审批程序，在向财政部门提交申请资料时，有具体的预算明细，包括项目可研、初步设计、财政预算评审报告等资料。</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A2-1 绩效目标合理性</w:t>
      </w:r>
    </w:p>
    <w:p>
      <w:pPr>
        <w:adjustRightInd w:val="0"/>
        <w:snapToGrid w:val="0"/>
        <w:spacing w:line="560" w:lineRule="exact"/>
        <w:ind w:firstLine="560" w:firstLineChars="200"/>
      </w:pPr>
      <w:r>
        <w:rPr>
          <w:rFonts w:hint="eastAsia" w:ascii="仿宋" w:hAnsi="仿宋" w:eastAsia="仿宋" w:cs="仿宋"/>
          <w:kern w:val="0"/>
          <w:sz w:val="28"/>
          <w:szCs w:val="28"/>
        </w:rPr>
        <w:t>经评价组核实，项目单位设置的绩效目标为：“实现全县河道生态环境的治理目标，塑造临猗转型发展、可持续发展的新形象”，项目目标设置符合相关法律法规、政府决策，且与临猗县涑水河道管理站工作内容及职责密切相关，项目预期产出效益符合正常业绩水平。</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A2-2 绩效指标明确性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项目单位将绩效目标细化分解为数量、质量、时效、成本、效益、影响力指标。指标值清晰、可衡量性较强。主要指标为管理房1处、绿化1960颗、亲水平台2处、铁丝护栏2171米、路灯343个、工程合格率100%、完成及时性100%等。</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A3-1预算编制科学性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涑水河临猗县城区段（滞洪区）配套工程项目以可研报告及财政评审报告作为预算编制基础，预算编制较为科学、额度测算依据充分，有明确的建设内容（管理用房、公厕、亲水平台、绿化带、路灯）、规模（建设面积、数量）、投资额（预计投资额），预算内容及金额与涑水河滞洪区配套工程项目相匹配。</w:t>
      </w:r>
    </w:p>
    <w:p>
      <w:pPr>
        <w:adjustRightInd w:val="0"/>
        <w:snapToGrid w:val="0"/>
        <w:spacing w:line="560" w:lineRule="exact"/>
        <w:ind w:firstLine="560" w:firstLineChars="200"/>
        <w:rPr>
          <w:rFonts w:ascii="仿宋" w:hAnsi="仿宋" w:eastAsia="仿宋" w:cs="仿宋"/>
          <w:b/>
          <w:color w:val="000000"/>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A3-2资金分配合理性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sz w:val="28"/>
          <w:szCs w:val="28"/>
        </w:rPr>
        <w:t>经评价组核实，</w:t>
      </w:r>
      <w:r>
        <w:rPr>
          <w:rFonts w:hint="eastAsia" w:ascii="仿宋" w:hAnsi="仿宋" w:eastAsia="仿宋" w:cs="仿宋"/>
          <w:kern w:val="0"/>
          <w:sz w:val="28"/>
          <w:szCs w:val="28"/>
        </w:rPr>
        <w:t>涑水河临猗县城区段（滞洪区）配套工程项目</w:t>
      </w:r>
      <w:r>
        <w:rPr>
          <w:rFonts w:hint="eastAsia" w:ascii="仿宋" w:hAnsi="仿宋" w:eastAsia="仿宋"/>
          <w:sz w:val="28"/>
          <w:szCs w:val="28"/>
        </w:rPr>
        <w:t>预算资金分配依据充分、与项目实际相适应，以预算评审结果和所签署的各项合同作为资金分配依据，资金分配较为合理。预算资金共计24,489,341.00元，其中：工程费用22,041,841.00元，可研等待摊投资1,127,500.00元，预备费1,320,000.00元。</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0" w:firstLineChars="200"/>
        <w:outlineLvl w:val="2"/>
        <w:rPr>
          <w:rFonts w:ascii="仿宋" w:hAnsi="仿宋" w:eastAsia="仿宋" w:cs="仿宋"/>
          <w:bCs/>
          <w:sz w:val="28"/>
          <w:szCs w:val="28"/>
        </w:rPr>
      </w:pPr>
      <w:bookmarkStart w:id="69" w:name="_Toc13547"/>
      <w:r>
        <w:rPr>
          <w:rFonts w:hint="eastAsia" w:ascii="仿宋" w:hAnsi="仿宋" w:eastAsia="仿宋" w:cs="仿宋"/>
          <w:bCs/>
          <w:sz w:val="28"/>
          <w:szCs w:val="28"/>
        </w:rPr>
        <w:t>2.过程类指标</w:t>
      </w:r>
      <w:bookmarkEnd w:id="69"/>
    </w:p>
    <w:p>
      <w:pPr>
        <w:pStyle w:val="21"/>
        <w:spacing w:line="560" w:lineRule="exact"/>
        <w:rPr>
          <w:rFonts w:ascii="仿宋" w:hAnsi="仿宋" w:eastAsia="仿宋" w:cs="仿宋"/>
        </w:rPr>
      </w:pPr>
      <w:r>
        <w:rPr>
          <w:rFonts w:hint="eastAsia" w:ascii="仿宋" w:hAnsi="仿宋" w:eastAsia="仿宋" w:cs="仿宋"/>
        </w:rPr>
        <w:t>过程类指标从财政资金到位率、预算执行率、资金使用合规性、组织机构健全性、管理制度健全性、制度执行有效性、财政预算评审、招投标制度执行情况、工程监理情况9个方面对项目的过程情况进行评价，过程类指标分值20分，实际得分15分，得分率75%。</w:t>
      </w:r>
    </w:p>
    <w:p>
      <w:pPr>
        <w:pStyle w:val="21"/>
        <w:spacing w:line="560" w:lineRule="exact"/>
        <w:rPr>
          <w:rFonts w:ascii="仿宋" w:hAnsi="仿宋" w:eastAsia="仿宋" w:cs="仿宋"/>
        </w:rPr>
      </w:pPr>
      <w:r>
        <w:rPr>
          <w:rFonts w:hint="eastAsia" w:ascii="仿宋" w:hAnsi="仿宋" w:eastAsia="仿宋" w:cs="仿宋"/>
        </w:rPr>
        <w:t>具体得分情况如下表所示：</w:t>
      </w:r>
    </w:p>
    <w:p>
      <w:pPr>
        <w:pStyle w:val="18"/>
        <w:spacing w:line="360" w:lineRule="auto"/>
        <w:rPr>
          <w:rFonts w:ascii="仿宋" w:hAnsi="仿宋" w:eastAsia="仿宋" w:cs="仿宋"/>
          <w:szCs w:val="24"/>
        </w:rPr>
      </w:pPr>
      <w:r>
        <w:rPr>
          <w:rFonts w:hint="eastAsia" w:ascii="仿宋" w:hAnsi="仿宋" w:eastAsia="仿宋" w:cs="仿宋"/>
          <w:szCs w:val="24"/>
        </w:rPr>
        <w:t>表3-3 项目过程类指标得分情况</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3279"/>
        <w:gridCol w:w="1099"/>
        <w:gridCol w:w="91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3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327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109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分值</w:t>
            </w:r>
          </w:p>
        </w:tc>
        <w:tc>
          <w:tcPr>
            <w:tcW w:w="912"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w:t>
            </w:r>
          </w:p>
        </w:tc>
        <w:tc>
          <w:tcPr>
            <w:tcW w:w="1093"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restart"/>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资金管理</w:t>
            </w:r>
          </w:p>
        </w:tc>
        <w:tc>
          <w:tcPr>
            <w:tcW w:w="3279" w:type="dxa"/>
            <w:vAlign w:val="center"/>
          </w:tcPr>
          <w:p>
            <w:pPr>
              <w:pStyle w:val="18"/>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B1-1 财政资金到位率</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18"/>
              <w:spacing w:before="0" w:after="0" w:line="360" w:lineRule="auto"/>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B1-2 预算执行率</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0</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vAlign w:val="center"/>
          </w:tcPr>
          <w:p>
            <w:pPr>
              <w:pStyle w:val="18"/>
              <w:spacing w:before="0" w:after="0" w:line="360" w:lineRule="auto"/>
              <w:ind w:firstLine="120" w:firstLineChars="50"/>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B1-3 资金使用合规性</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restart"/>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bCs/>
                <w:color w:val="000000"/>
                <w:szCs w:val="24"/>
              </w:rPr>
              <w:t>组织实施</w:t>
            </w: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B2-1 组织机构健全性</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18"/>
              <w:spacing w:before="0" w:after="0" w:line="360" w:lineRule="auto"/>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bCs/>
                <w:color w:val="000000"/>
                <w:szCs w:val="24"/>
              </w:rPr>
              <w:t>B2-2</w:t>
            </w:r>
            <w:r>
              <w:rPr>
                <w:rFonts w:hint="eastAsia" w:ascii="仿宋" w:hAnsi="仿宋" w:eastAsia="仿宋" w:cs="仿宋"/>
                <w:b w:val="0"/>
                <w:color w:val="000000"/>
                <w:szCs w:val="24"/>
              </w:rPr>
              <w:t>管理制度健全性</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18"/>
              <w:spacing w:before="0" w:after="0" w:line="360" w:lineRule="auto"/>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B2-3 制度执行有效性</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18"/>
              <w:spacing w:before="0" w:after="0" w:line="360" w:lineRule="auto"/>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bCs/>
                <w:color w:val="000000"/>
                <w:szCs w:val="24"/>
              </w:rPr>
              <w:t>B2-4 财政预算评审</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18"/>
              <w:spacing w:before="0" w:after="0" w:line="360" w:lineRule="auto"/>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bCs/>
                <w:color w:val="000000"/>
                <w:szCs w:val="24"/>
              </w:rPr>
              <w:t>B2-5 招投标制度执行情况</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18"/>
              <w:spacing w:before="0" w:after="0" w:line="360" w:lineRule="auto"/>
              <w:rPr>
                <w:rFonts w:ascii="仿宋" w:hAnsi="仿宋" w:eastAsia="仿宋" w:cs="仿宋"/>
                <w:b w:val="0"/>
                <w:color w:val="000000"/>
                <w:szCs w:val="24"/>
              </w:rPr>
            </w:pPr>
          </w:p>
        </w:tc>
        <w:tc>
          <w:tcPr>
            <w:tcW w:w="3279"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bCs/>
                <w:color w:val="000000"/>
                <w:szCs w:val="24"/>
              </w:rPr>
              <w:t>B2-6 工程监理情况</w:t>
            </w:r>
          </w:p>
        </w:tc>
        <w:tc>
          <w:tcPr>
            <w:tcW w:w="10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2"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093"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kern w:val="0"/>
                <w:sz w:val="24"/>
                <w:szCs w:val="24"/>
              </w:rPr>
              <w:t>50%</w:t>
            </w:r>
          </w:p>
        </w:tc>
      </w:tr>
    </w:tbl>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B1-1 财政资金到位率</w:t>
      </w:r>
    </w:p>
    <w:p>
      <w:pPr>
        <w:widowControl/>
        <w:spacing w:line="560" w:lineRule="exact"/>
        <w:ind w:firstLine="560" w:firstLineChars="200"/>
        <w:jc w:val="left"/>
        <w:rPr>
          <w:rFonts w:ascii="仿宋" w:hAnsi="仿宋" w:eastAsia="仿宋"/>
          <w:color w:val="000000" w:themeColor="text1"/>
          <w:sz w:val="28"/>
          <w:szCs w:val="28"/>
        </w:rPr>
      </w:pPr>
      <w:r>
        <w:rPr>
          <w:rFonts w:hint="eastAsia" w:ascii="仿宋" w:hAnsi="仿宋" w:eastAsia="仿宋" w:cs="仿宋"/>
          <w:kern w:val="0"/>
          <w:sz w:val="28"/>
          <w:szCs w:val="28"/>
        </w:rPr>
        <w:t>涑水河临猗县城区段（滞洪区）配套工程项目</w:t>
      </w:r>
      <w:r>
        <w:rPr>
          <w:rFonts w:hint="eastAsia" w:ascii="仿宋" w:hAnsi="仿宋" w:eastAsia="仿宋"/>
          <w:sz w:val="28"/>
          <w:szCs w:val="28"/>
        </w:rPr>
        <w:t>总投资2,930.00万元，全部为临猗县财政资金。县水务局根据工程支付进度向财政申请资金，截止2021年8月县水务局共申请财政资金1,859.50</w:t>
      </w:r>
      <w:r>
        <w:rPr>
          <w:rFonts w:hint="eastAsia" w:ascii="仿宋" w:hAnsi="仿宋" w:eastAsia="仿宋" w:cs="仿宋"/>
          <w:kern w:val="0"/>
          <w:sz w:val="28"/>
          <w:szCs w:val="28"/>
        </w:rPr>
        <w:t>万元。</w:t>
      </w:r>
      <w:r>
        <w:rPr>
          <w:rFonts w:hint="eastAsia" w:ascii="仿宋" w:hAnsi="仿宋" w:eastAsia="仿宋" w:cs="仿宋"/>
          <w:sz w:val="28"/>
          <w:szCs w:val="28"/>
        </w:rPr>
        <w:t>经核实，</w:t>
      </w:r>
      <w:r>
        <w:rPr>
          <w:rFonts w:hint="eastAsia" w:ascii="仿宋" w:hAnsi="仿宋" w:eastAsia="仿宋"/>
          <w:sz w:val="28"/>
          <w:szCs w:val="28"/>
        </w:rPr>
        <w:t>1,859.50</w:t>
      </w:r>
      <w:r>
        <w:rPr>
          <w:rFonts w:hint="eastAsia" w:ascii="仿宋" w:hAnsi="仿宋" w:eastAsia="仿宋" w:cs="仿宋"/>
          <w:kern w:val="0"/>
          <w:sz w:val="28"/>
          <w:szCs w:val="28"/>
        </w:rPr>
        <w:t>万元</w:t>
      </w:r>
      <w:r>
        <w:rPr>
          <w:rFonts w:hint="eastAsia" w:ascii="仿宋" w:hAnsi="仿宋" w:eastAsia="仿宋" w:cs="仿宋"/>
          <w:sz w:val="28"/>
          <w:szCs w:val="28"/>
        </w:rPr>
        <w:t>财政资金已全部拨付到位，财政资金到位率100%。</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满分2分，</w:t>
      </w:r>
      <w:r>
        <w:rPr>
          <w:rFonts w:hint="eastAsia" w:ascii="仿宋" w:hAnsi="仿宋" w:eastAsia="仿宋" w:cs="仿宋"/>
          <w:kern w:val="0"/>
          <w:sz w:val="28"/>
          <w:szCs w:val="28"/>
        </w:rPr>
        <w:t>根据绩效评价指标，</w:t>
      </w:r>
      <w:r>
        <w:rPr>
          <w:rFonts w:hint="eastAsia" w:ascii="仿宋" w:hAnsi="仿宋" w:eastAsia="仿宋" w:cs="仿宋"/>
          <w:sz w:val="28"/>
          <w:szCs w:val="28"/>
        </w:rPr>
        <w:t>本指标得分2分，得分率100%。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B1-2 预算执行率</w:t>
      </w:r>
    </w:p>
    <w:p>
      <w:pPr>
        <w:adjustRightInd w:val="0"/>
        <w:snapToGrid w:val="0"/>
        <w:spacing w:line="560" w:lineRule="exact"/>
        <w:ind w:firstLine="548" w:firstLineChars="196"/>
        <w:rPr>
          <w:rFonts w:ascii="仿宋" w:hAnsi="仿宋" w:eastAsia="仿宋" w:cs="仿宋"/>
          <w:sz w:val="28"/>
          <w:szCs w:val="28"/>
        </w:rPr>
      </w:pPr>
      <w:r>
        <w:rPr>
          <w:rFonts w:hint="eastAsia" w:ascii="仿宋" w:hAnsi="仿宋" w:eastAsia="仿宋" w:cs="仿宋"/>
          <w:kern w:val="0"/>
          <w:sz w:val="28"/>
          <w:szCs w:val="28"/>
        </w:rPr>
        <w:t>经评价组核实，涑水河临猗县城区段（滞洪区）配套工程项目</w:t>
      </w:r>
      <w:r>
        <w:rPr>
          <w:rFonts w:hint="eastAsia" w:ascii="仿宋" w:hAnsi="仿宋" w:eastAsia="仿宋" w:cs="仿宋"/>
          <w:sz w:val="28"/>
          <w:szCs w:val="28"/>
        </w:rPr>
        <w:t>财政资金共到位</w:t>
      </w:r>
      <w:r>
        <w:rPr>
          <w:rFonts w:hint="eastAsia" w:ascii="仿宋" w:hAnsi="仿宋" w:eastAsia="仿宋"/>
          <w:sz w:val="28"/>
          <w:szCs w:val="28"/>
        </w:rPr>
        <w:t>18,595,000.00</w:t>
      </w:r>
      <w:r>
        <w:rPr>
          <w:rFonts w:hint="eastAsia" w:ascii="仿宋" w:hAnsi="仿宋" w:eastAsia="仿宋" w:cs="仿宋"/>
          <w:kern w:val="0"/>
          <w:sz w:val="28"/>
          <w:szCs w:val="28"/>
        </w:rPr>
        <w:t>元</w:t>
      </w:r>
      <w:r>
        <w:rPr>
          <w:rFonts w:hint="eastAsia" w:ascii="仿宋" w:hAnsi="仿宋" w:eastAsia="仿宋" w:cs="仿宋"/>
          <w:sz w:val="28"/>
          <w:szCs w:val="28"/>
        </w:rPr>
        <w:t>，截止2021年8月已支付14,745,743.10元，其中：工程款支出14,397,823.80元，可研报告等待摊投资347,919.30元</w:t>
      </w:r>
      <w:r>
        <w:rPr>
          <w:rFonts w:hint="eastAsia" w:ascii="仿宋" w:hAnsi="仿宋" w:eastAsia="仿宋" w:cs="仿宋"/>
          <w:kern w:val="0"/>
          <w:sz w:val="28"/>
          <w:szCs w:val="28"/>
        </w:rPr>
        <w:t>，</w:t>
      </w:r>
      <w:r>
        <w:rPr>
          <w:rFonts w:hint="eastAsia" w:ascii="仿宋" w:hAnsi="仿宋" w:eastAsia="仿宋" w:cs="仿宋"/>
          <w:sz w:val="28"/>
          <w:szCs w:val="28"/>
        </w:rPr>
        <w:t>预算执行率79.30%，结余资金3,849,256.90元。经分析，预算执行率较低主要原因为：项目单位按工程预计总资金向财政申请资金额度，但由于部分工程未完工，导致资金无法支付。</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满分2分，</w:t>
      </w:r>
      <w:r>
        <w:rPr>
          <w:rFonts w:hint="eastAsia" w:ascii="仿宋" w:hAnsi="仿宋" w:eastAsia="仿宋" w:cs="仿宋"/>
          <w:kern w:val="0"/>
          <w:sz w:val="28"/>
          <w:szCs w:val="28"/>
        </w:rPr>
        <w:t>根据绩效评价指标，</w:t>
      </w:r>
      <w:r>
        <w:rPr>
          <w:rFonts w:hint="eastAsia" w:ascii="仿宋" w:hAnsi="仿宋" w:eastAsia="仿宋" w:cs="仿宋"/>
          <w:sz w:val="28"/>
          <w:szCs w:val="28"/>
        </w:rPr>
        <w:t>本指标得分0分，得分率0%。</w:t>
      </w:r>
    </w:p>
    <w:p>
      <w:pPr>
        <w:adjustRightInd w:val="0"/>
        <w:snapToGrid w:val="0"/>
        <w:spacing w:line="560" w:lineRule="exact"/>
        <w:ind w:firstLine="551" w:firstLineChars="196"/>
        <w:rPr>
          <w:rFonts w:ascii="仿宋" w:hAnsi="仿宋" w:eastAsia="仿宋" w:cs="仿宋"/>
          <w:b/>
          <w:bCs/>
          <w:sz w:val="28"/>
          <w:szCs w:val="28"/>
        </w:rPr>
      </w:pPr>
      <w:r>
        <w:rPr>
          <w:rFonts w:hint="eastAsia" w:ascii="仿宋" w:hAnsi="仿宋" w:eastAsia="仿宋" w:cs="仿宋"/>
          <w:b/>
          <w:bCs/>
          <w:sz w:val="28"/>
          <w:szCs w:val="28"/>
        </w:rPr>
        <w:t>B1-3 资金使用合规性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资金拨付有完整的审批程序和手续；资金使用符合项目预算批复或合同规定的用途；未发现截留、挤占、挪用、虚列支出等情况，如：支付工程款时，附工程款支付报审表、工程款支付证书、工程量核定单、发票、施工合同作为付款证据资料。</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满分4分，</w:t>
      </w:r>
      <w:r>
        <w:rPr>
          <w:rFonts w:hint="eastAsia" w:ascii="仿宋" w:hAnsi="仿宋" w:eastAsia="仿宋" w:cs="仿宋"/>
          <w:kern w:val="0"/>
          <w:sz w:val="28"/>
          <w:szCs w:val="28"/>
        </w:rPr>
        <w:t>根据绩效评价指标，</w:t>
      </w:r>
      <w:r>
        <w:rPr>
          <w:rFonts w:hint="eastAsia" w:ascii="仿宋" w:hAnsi="仿宋" w:eastAsia="仿宋" w:cs="仿宋"/>
          <w:sz w:val="28"/>
          <w:szCs w:val="28"/>
        </w:rPr>
        <w:t>本指标得分4分，得分率100%。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B2-1 组织机构健全性</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为保证</w:t>
      </w:r>
      <w:r>
        <w:rPr>
          <w:rFonts w:hint="eastAsia" w:ascii="仿宋" w:hAnsi="仿宋" w:eastAsia="仿宋" w:cs="仿宋"/>
          <w:kern w:val="0"/>
          <w:sz w:val="28"/>
          <w:szCs w:val="28"/>
        </w:rPr>
        <w:t>涑水河临猗县城区段（滞洪区）配套工程项目</w:t>
      </w:r>
      <w:r>
        <w:rPr>
          <w:rFonts w:hint="eastAsia" w:ascii="仿宋" w:hAnsi="仿宋" w:eastAsia="仿宋" w:cs="仿宋"/>
          <w:bCs/>
          <w:sz w:val="28"/>
          <w:szCs w:val="28"/>
        </w:rPr>
        <w:t>顺利实施，经县政府同意，成立了“临猗县涑水河城区段滞洪区配套工程项目部”，下设“工程组、质检组、财务组、宣传组”，将工作任务落实到各小组及相关责任人员，确保责任到人，保证各项工作有序推进、顺利实施。</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B2-2 管理制度健全性</w:t>
      </w:r>
    </w:p>
    <w:p>
      <w:pPr>
        <w:spacing w:line="560" w:lineRule="exact"/>
        <w:ind w:firstLine="560" w:firstLineChars="200"/>
        <w:jc w:val="left"/>
        <w:rPr>
          <w:rFonts w:ascii="仿宋" w:hAnsi="仿宋" w:eastAsia="仿宋" w:cs="仿宋"/>
          <w:sz w:val="28"/>
          <w:szCs w:val="28"/>
        </w:rPr>
      </w:pPr>
      <w:r>
        <w:rPr>
          <w:rFonts w:hint="eastAsia" w:ascii="仿宋" w:hAnsi="仿宋" w:eastAsia="仿宋" w:cs="仿宋"/>
          <w:kern w:val="0"/>
          <w:sz w:val="28"/>
          <w:szCs w:val="28"/>
        </w:rPr>
        <w:t>经评价组核实，</w:t>
      </w:r>
      <w:r>
        <w:rPr>
          <w:rFonts w:hint="eastAsia" w:ascii="仿宋" w:hAnsi="仿宋" w:eastAsia="仿宋" w:cs="仿宋"/>
          <w:bCs/>
          <w:sz w:val="28"/>
          <w:szCs w:val="28"/>
        </w:rPr>
        <w:t>项目单位在项目建设过程中，制定了工程建设管理、资金管理、质量管理、档案管理等制度，但</w:t>
      </w:r>
      <w:r>
        <w:rPr>
          <w:rFonts w:hint="eastAsia" w:ascii="仿宋" w:hAnsi="仿宋" w:eastAsia="仿宋" w:cs="仿宋"/>
          <w:sz w:val="28"/>
          <w:szCs w:val="28"/>
        </w:rPr>
        <w:t>未结合项目情况制定工期管理、工程监督考核制度。对工程项目的管理未形成制度性文件，制度管理意识有待加强。</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满分2分，根据绩效评价指标，本指标得分1分，得分率50%。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B2-3 制度执行有效性</w:t>
      </w:r>
    </w:p>
    <w:p>
      <w:pPr>
        <w:widowControl/>
        <w:spacing w:line="560" w:lineRule="exact"/>
        <w:ind w:firstLine="560" w:firstLineChars="200"/>
        <w:jc w:val="left"/>
        <w:rPr>
          <w:rFonts w:ascii="仿宋" w:hAnsi="仿宋" w:eastAsia="仿宋"/>
          <w:bCs/>
          <w:sz w:val="28"/>
          <w:szCs w:val="28"/>
        </w:rPr>
      </w:pPr>
      <w:r>
        <w:rPr>
          <w:rFonts w:hint="eastAsia" w:ascii="仿宋" w:hAnsi="仿宋" w:eastAsia="仿宋"/>
          <w:bCs/>
          <w:sz w:val="28"/>
          <w:szCs w:val="28"/>
        </w:rPr>
        <w:t>经评价组核实，</w:t>
      </w:r>
      <w:r>
        <w:rPr>
          <w:rFonts w:hint="eastAsia" w:ascii="仿宋" w:hAnsi="仿宋" w:eastAsia="仿宋" w:cs="仿宋"/>
          <w:sz w:val="28"/>
          <w:szCs w:val="28"/>
        </w:rPr>
        <w:t>项目单位</w:t>
      </w:r>
      <w:r>
        <w:rPr>
          <w:rFonts w:hint="eastAsia" w:ascii="仿宋" w:hAnsi="仿宋" w:eastAsia="仿宋"/>
          <w:bCs/>
          <w:sz w:val="28"/>
          <w:szCs w:val="28"/>
        </w:rPr>
        <w:t>制度执行较为有效，但仍存在瑕疵，具体为：项目</w:t>
      </w:r>
      <w:r>
        <w:rPr>
          <w:rFonts w:hint="eastAsia" w:ascii="仿宋" w:hAnsi="仿宋" w:eastAsia="仿宋" w:cs="仿宋"/>
          <w:bCs/>
          <w:sz w:val="28"/>
          <w:szCs w:val="28"/>
        </w:rPr>
        <w:t>的立项、可研、招投标、财政预算评审、</w:t>
      </w:r>
      <w:r>
        <w:rPr>
          <w:rFonts w:hint="eastAsia" w:ascii="仿宋" w:hAnsi="仿宋" w:eastAsia="仿宋" w:cs="仿宋"/>
          <w:kern w:val="0"/>
          <w:sz w:val="28"/>
          <w:szCs w:val="28"/>
        </w:rPr>
        <w:t>施工合同等</w:t>
      </w:r>
      <w:r>
        <w:rPr>
          <w:rFonts w:hint="eastAsia" w:ascii="仿宋" w:hAnsi="仿宋" w:eastAsia="仿宋" w:cs="仿宋"/>
          <w:bCs/>
          <w:sz w:val="28"/>
          <w:szCs w:val="28"/>
        </w:rPr>
        <w:t>资料基本完整并编制归档</w:t>
      </w:r>
      <w:r>
        <w:rPr>
          <w:rFonts w:hint="eastAsia" w:ascii="仿宋" w:hAnsi="仿宋" w:eastAsia="仿宋" w:cs="仿宋"/>
          <w:kern w:val="0"/>
          <w:sz w:val="28"/>
          <w:szCs w:val="28"/>
        </w:rPr>
        <w:t>；</w:t>
      </w:r>
      <w:r>
        <w:rPr>
          <w:rFonts w:hint="eastAsia" w:ascii="仿宋" w:hAnsi="仿宋" w:eastAsia="仿宋"/>
          <w:bCs/>
          <w:sz w:val="28"/>
          <w:szCs w:val="28"/>
        </w:rPr>
        <w:t>为保障项目顺利实施，安排专人负责该项目实施。但由于缺乏</w:t>
      </w:r>
      <w:r>
        <w:rPr>
          <w:rFonts w:hint="eastAsia" w:ascii="仿宋" w:hAnsi="仿宋" w:eastAsia="仿宋" w:cs="仿宋"/>
          <w:sz w:val="28"/>
          <w:szCs w:val="28"/>
        </w:rPr>
        <w:t>监督考核制度</w:t>
      </w:r>
      <w:r>
        <w:rPr>
          <w:rFonts w:hint="eastAsia" w:ascii="仿宋" w:hAnsi="仿宋" w:eastAsia="仿宋"/>
          <w:bCs/>
          <w:sz w:val="28"/>
          <w:szCs w:val="28"/>
        </w:rPr>
        <w:t>，业务执行缺乏制度制约，同时由于运城市水务局涑水河主体工程施工缓慢、导致项目</w:t>
      </w:r>
      <w:r>
        <w:rPr>
          <w:rFonts w:hint="eastAsia" w:ascii="仿宋" w:hAnsi="仿宋" w:eastAsia="仿宋"/>
          <w:sz w:val="28"/>
          <w:szCs w:val="28"/>
        </w:rPr>
        <w:t>未按照规划要求及时完工，影响项目投入使用</w:t>
      </w:r>
      <w:r>
        <w:rPr>
          <w:rFonts w:hint="eastAsia" w:ascii="仿宋" w:hAnsi="仿宋" w:eastAsia="仿宋"/>
          <w:bCs/>
          <w:sz w:val="28"/>
          <w:szCs w:val="28"/>
        </w:rPr>
        <w:t>。</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满分2分，根据绩效评价指标，本指标得分1分，得分率50%。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B2-4 财政预算评审</w:t>
      </w:r>
    </w:p>
    <w:p>
      <w:pPr>
        <w:adjustRightInd w:val="0"/>
        <w:snapToGrid w:val="0"/>
        <w:spacing w:line="560" w:lineRule="exact"/>
        <w:ind w:firstLine="560" w:firstLineChars="200"/>
        <w:rPr>
          <w:rFonts w:ascii="仿宋" w:hAnsi="仿宋" w:cs="仿宋"/>
          <w:kern w:val="0"/>
          <w:sz w:val="28"/>
          <w:szCs w:val="28"/>
        </w:rPr>
      </w:pPr>
      <w:r>
        <w:rPr>
          <w:rFonts w:hint="eastAsia" w:ascii="仿宋" w:hAnsi="仿宋" w:eastAsia="仿宋" w:cs="仿宋"/>
          <w:kern w:val="0"/>
          <w:sz w:val="28"/>
          <w:szCs w:val="28"/>
        </w:rPr>
        <w:t>经评价组核实，项目单位严格按规定对财政投资建设项目履行财政评审手续。分别于2018年9月、2020年9月将涑水河滞洪区配套工程及人行道路汉白玉栏杆基础补强工程预算报送临猗县财政投资评审中心进行预算评审，送审金额30,253,895.00元，审减金额5,764,554.00元，审定金额24,489,341.00元。审减原因：由于送审的工程量、套价定额、材料价格不准确，评审中心对该项目的绿化、长廊、景观小品、PE埋地管等项目工程量及价值进行核减。</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B2-5招投标制度执行情况</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根据临猗县发改委批复文件，临猗县水务局应对建设工程、监理、勘察设计进行公开招标。临猗县水务局严格按照招投标及政府采购相关规定，委托中鼎誉润工程咨询有限公司于2018年5月、2018年10月在运城市公共资源交易中心对该项目设计、施工、监理进行公开招标。经专家评审，最终确定中北工程设计咨询有限公司等单位为项目中标单位，中标金额22,720,863.46元，招投标制度执行较为到位。具体单位明细如下：</w:t>
      </w:r>
    </w:p>
    <w:tbl>
      <w:tblPr>
        <w:tblStyle w:val="11"/>
        <w:tblW w:w="4998" w:type="pct"/>
        <w:jc w:val="center"/>
        <w:tblLayout w:type="autofit"/>
        <w:tblCellMar>
          <w:top w:w="0" w:type="dxa"/>
          <w:left w:w="108" w:type="dxa"/>
          <w:bottom w:w="0" w:type="dxa"/>
          <w:right w:w="108" w:type="dxa"/>
        </w:tblCellMar>
      </w:tblPr>
      <w:tblGrid>
        <w:gridCol w:w="696"/>
        <w:gridCol w:w="1593"/>
        <w:gridCol w:w="4423"/>
        <w:gridCol w:w="1807"/>
      </w:tblGrid>
      <w:tr>
        <w:tblPrEx>
          <w:tblCellMar>
            <w:top w:w="0" w:type="dxa"/>
            <w:left w:w="108" w:type="dxa"/>
            <w:bottom w:w="0" w:type="dxa"/>
            <w:right w:w="108" w:type="dxa"/>
          </w:tblCellMar>
        </w:tblPrEx>
        <w:trPr>
          <w:trHeight w:val="425" w:hRule="atLeast"/>
          <w:tblHeader/>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序号</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类型</w:t>
            </w:r>
          </w:p>
        </w:tc>
        <w:tc>
          <w:tcPr>
            <w:tcW w:w="2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施工单位</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中标金额</w:t>
            </w:r>
          </w:p>
        </w:tc>
      </w:tr>
      <w:tr>
        <w:tblPrEx>
          <w:tblCellMar>
            <w:top w:w="0" w:type="dxa"/>
            <w:left w:w="108" w:type="dxa"/>
            <w:bottom w:w="0" w:type="dxa"/>
            <w:right w:w="108" w:type="dxa"/>
          </w:tblCellMar>
        </w:tblPrEx>
        <w:trPr>
          <w:trHeight w:val="42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工程设计</w:t>
            </w:r>
          </w:p>
        </w:tc>
        <w:tc>
          <w:tcPr>
            <w:tcW w:w="2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中北工程设计咨询有限公司运城分公司</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415,000.00 </w:t>
            </w:r>
          </w:p>
        </w:tc>
      </w:tr>
      <w:tr>
        <w:tblPrEx>
          <w:tblCellMar>
            <w:top w:w="0" w:type="dxa"/>
            <w:left w:w="108" w:type="dxa"/>
            <w:bottom w:w="0" w:type="dxa"/>
            <w:right w:w="108" w:type="dxa"/>
          </w:tblCellMar>
        </w:tblPrEx>
        <w:trPr>
          <w:trHeight w:val="42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监理</w:t>
            </w:r>
          </w:p>
        </w:tc>
        <w:tc>
          <w:tcPr>
            <w:tcW w:w="2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运城市金环工程建设监理有限公司</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293,000.00 </w:t>
            </w:r>
          </w:p>
        </w:tc>
      </w:tr>
      <w:tr>
        <w:tblPrEx>
          <w:tblCellMar>
            <w:top w:w="0" w:type="dxa"/>
            <w:left w:w="108" w:type="dxa"/>
            <w:bottom w:w="0" w:type="dxa"/>
            <w:right w:w="108" w:type="dxa"/>
          </w:tblCellMar>
        </w:tblPrEx>
        <w:trPr>
          <w:trHeight w:val="42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3</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工程一标段</w:t>
            </w:r>
          </w:p>
        </w:tc>
        <w:tc>
          <w:tcPr>
            <w:tcW w:w="2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山西亿承建设工程有限公司</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6,892,191.62 </w:t>
            </w:r>
          </w:p>
        </w:tc>
      </w:tr>
      <w:tr>
        <w:tblPrEx>
          <w:tblCellMar>
            <w:top w:w="0" w:type="dxa"/>
            <w:left w:w="108" w:type="dxa"/>
            <w:bottom w:w="0" w:type="dxa"/>
            <w:right w:w="108" w:type="dxa"/>
          </w:tblCellMar>
        </w:tblPrEx>
        <w:trPr>
          <w:trHeight w:val="42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工程二标段</w:t>
            </w:r>
          </w:p>
        </w:tc>
        <w:tc>
          <w:tcPr>
            <w:tcW w:w="2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晋城市金建建筑有限公司</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4,334,781.41 </w:t>
            </w:r>
          </w:p>
        </w:tc>
      </w:tr>
      <w:tr>
        <w:tblPrEx>
          <w:tblCellMar>
            <w:top w:w="0" w:type="dxa"/>
            <w:left w:w="108" w:type="dxa"/>
            <w:bottom w:w="0" w:type="dxa"/>
            <w:right w:w="108" w:type="dxa"/>
          </w:tblCellMar>
        </w:tblPrEx>
        <w:trPr>
          <w:trHeight w:val="425"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5</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工程三标段</w:t>
            </w:r>
          </w:p>
        </w:tc>
        <w:tc>
          <w:tcPr>
            <w:tcW w:w="2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运城市第一建筑工程有限公司</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10,785,890.43 </w:t>
            </w:r>
          </w:p>
        </w:tc>
      </w:tr>
    </w:tbl>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B2-6工程监理情况</w:t>
      </w:r>
    </w:p>
    <w:p>
      <w:pPr>
        <w:adjustRightInd w:val="0"/>
        <w:snapToGrid w:val="0"/>
        <w:spacing w:line="560" w:lineRule="exact"/>
        <w:ind w:firstLine="560" w:firstLineChars="200"/>
        <w:rPr>
          <w:rFonts w:ascii="仿宋" w:hAnsi="仿宋" w:eastAsia="仿宋" w:cs="仿宋"/>
          <w:color w:val="000000" w:themeColor="text1"/>
          <w:kern w:val="0"/>
          <w:sz w:val="28"/>
          <w:szCs w:val="28"/>
        </w:rPr>
      </w:pPr>
      <w:r>
        <w:rPr>
          <w:rFonts w:hint="eastAsia" w:ascii="仿宋" w:hAnsi="仿宋" w:eastAsia="仿宋" w:cs="仿宋"/>
          <w:color w:val="000000" w:themeColor="text1"/>
          <w:kern w:val="0"/>
          <w:sz w:val="28"/>
          <w:szCs w:val="28"/>
        </w:rPr>
        <w:t>经评价组核实，县水务局委托运城市金环工程建设监理有限公司作为项目监理单位，负责对项目的进度、变更、质量等进行检查、监督，</w:t>
      </w:r>
      <w:r>
        <w:rPr>
          <w:rFonts w:ascii="仿宋" w:hAnsi="仿宋" w:eastAsia="仿宋" w:cs="仿宋"/>
          <w:color w:val="000000" w:themeColor="text1"/>
          <w:kern w:val="0"/>
          <w:sz w:val="28"/>
          <w:szCs w:val="28"/>
        </w:rPr>
        <w:t>确保工程按期、保质、保量完成</w:t>
      </w:r>
      <w:r>
        <w:rPr>
          <w:rFonts w:hint="eastAsia" w:ascii="仿宋" w:hAnsi="仿宋" w:eastAsia="仿宋" w:cs="仿宋"/>
          <w:color w:val="000000" w:themeColor="text1"/>
          <w:kern w:val="0"/>
          <w:sz w:val="28"/>
          <w:szCs w:val="28"/>
        </w:rPr>
        <w:t>；但因未提供完整的监理日志、监理报告，无法对工程监理总体执行情况进行有效分析、认定。</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满分2分，根据绩效评价指标，本指标得分1分，得分率50%。</w:t>
      </w:r>
    </w:p>
    <w:p>
      <w:pPr>
        <w:adjustRightInd w:val="0"/>
        <w:snapToGrid w:val="0"/>
        <w:spacing w:line="560" w:lineRule="exact"/>
        <w:ind w:firstLine="560" w:firstLineChars="200"/>
        <w:outlineLvl w:val="2"/>
        <w:rPr>
          <w:rFonts w:ascii="仿宋" w:hAnsi="仿宋" w:eastAsia="仿宋" w:cs="仿宋"/>
          <w:bCs/>
          <w:sz w:val="28"/>
          <w:szCs w:val="28"/>
        </w:rPr>
      </w:pPr>
      <w:bookmarkStart w:id="70" w:name="_Toc15230"/>
      <w:r>
        <w:rPr>
          <w:rFonts w:hint="eastAsia" w:ascii="仿宋" w:hAnsi="仿宋" w:eastAsia="仿宋" w:cs="仿宋"/>
          <w:bCs/>
          <w:sz w:val="28"/>
          <w:szCs w:val="28"/>
        </w:rPr>
        <w:t>3.产出类指标</w:t>
      </w:r>
      <w:bookmarkEnd w:id="70"/>
    </w:p>
    <w:p>
      <w:pPr>
        <w:tabs>
          <w:tab w:val="left" w:pos="5103"/>
        </w:tabs>
        <w:adjustRightInd w:val="0"/>
        <w:snapToGrid w:val="0"/>
        <w:spacing w:line="560" w:lineRule="exact"/>
        <w:ind w:firstLine="560" w:firstLineChars="200"/>
        <w:rPr>
          <w:rFonts w:ascii="仿宋" w:hAnsi="仿宋" w:eastAsia="仿宋" w:cs="仿宋"/>
          <w:bCs/>
          <w:sz w:val="28"/>
          <w:szCs w:val="28"/>
          <w:highlight w:val="yellow"/>
        </w:rPr>
      </w:pPr>
      <w:r>
        <w:rPr>
          <w:rFonts w:hint="eastAsia" w:ascii="仿宋" w:hAnsi="仿宋" w:eastAsia="仿宋" w:cs="仿宋"/>
          <w:bCs/>
          <w:sz w:val="28"/>
          <w:szCs w:val="28"/>
        </w:rPr>
        <w:t>产出类指标从管理用房建设完成率、公厕建设完成率、景观工程建设完成率、长廊建设完成率、湖心亭建设完成率、绿化工程质量、项目验收有效性、项目完工及时性、工程建设成本可控性等13个方面对项目的产出情况进行评价，产出类指标分值30分，实际得分21分，得分率70%。</w:t>
      </w:r>
    </w:p>
    <w:p>
      <w:pPr>
        <w:pStyle w:val="21"/>
        <w:spacing w:line="560" w:lineRule="exact"/>
        <w:rPr>
          <w:rFonts w:ascii="仿宋" w:hAnsi="仿宋" w:eastAsia="仿宋" w:cs="仿宋"/>
          <w:color w:val="000000"/>
        </w:rPr>
      </w:pPr>
      <w:r>
        <w:rPr>
          <w:rFonts w:hint="eastAsia" w:ascii="仿宋" w:hAnsi="仿宋" w:eastAsia="仿宋" w:cs="仿宋"/>
          <w:color w:val="000000"/>
        </w:rPr>
        <w:t>具体得分情况如下表所示：</w:t>
      </w:r>
    </w:p>
    <w:p>
      <w:pPr>
        <w:pStyle w:val="18"/>
        <w:spacing w:line="360" w:lineRule="auto"/>
        <w:rPr>
          <w:rFonts w:ascii="仿宋" w:hAnsi="仿宋" w:eastAsia="仿宋" w:cs="仿宋"/>
          <w:szCs w:val="24"/>
        </w:rPr>
      </w:pPr>
      <w:r>
        <w:rPr>
          <w:rFonts w:hint="eastAsia" w:ascii="仿宋" w:hAnsi="仿宋" w:eastAsia="仿宋" w:cs="仿宋"/>
          <w:szCs w:val="24"/>
        </w:rPr>
        <w:t>表3-4 项目产出类指标得分情况</w:t>
      </w:r>
    </w:p>
    <w:tbl>
      <w:tblPr>
        <w:tblStyle w:val="11"/>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4089"/>
        <w:gridCol w:w="850"/>
        <w:gridCol w:w="842"/>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1455" w:type="dxa"/>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4089" w:type="dxa"/>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850" w:type="dxa"/>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分值</w:t>
            </w:r>
          </w:p>
        </w:tc>
        <w:tc>
          <w:tcPr>
            <w:tcW w:w="842" w:type="dxa"/>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w:t>
            </w:r>
          </w:p>
        </w:tc>
        <w:tc>
          <w:tcPr>
            <w:tcW w:w="1059" w:type="dxa"/>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restart"/>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产出数量</w:t>
            </w: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C1-1管理用房建设完成率</w:t>
            </w:r>
          </w:p>
        </w:tc>
        <w:tc>
          <w:tcPr>
            <w:tcW w:w="850" w:type="dxa"/>
            <w:vAlign w:val="center"/>
          </w:tcPr>
          <w:p>
            <w:pPr>
              <w:widowControl/>
              <w:jc w:val="center"/>
              <w:textAlignment w:val="center"/>
              <w:rPr>
                <w:rFonts w:ascii="仿宋" w:hAnsi="仿宋" w:eastAsia="仿宋" w:cs="仿宋"/>
                <w:b/>
                <w:color w:val="000000"/>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C1-2公厕建设完成率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C1-3 景观工程建设完成率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1</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C1-4 长廊建设完成率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1.5</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C1-5 湖心亭建设完成率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C1-6 道路施工完成率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0.5</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C1-7 照明工程完成率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1</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C1-8 汉白玉护栏安装完成率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C1-9 浸塑格栅安装完成率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Merge w:val="continue"/>
            <w:vAlign w:val="center"/>
          </w:tcPr>
          <w:p>
            <w:pPr>
              <w:pStyle w:val="18"/>
              <w:spacing w:before="0" w:after="0" w:line="360" w:lineRule="auto"/>
              <w:rPr>
                <w:rFonts w:ascii="仿宋" w:hAnsi="仿宋" w:eastAsia="仿宋" w:cs="仿宋"/>
                <w:b w:val="0"/>
                <w:color w:val="000000"/>
                <w:szCs w:val="24"/>
              </w:rPr>
            </w:pP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C1-10 绿化工程完成率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产出质量</w:t>
            </w: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C2-1 工程项目质量合格率</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4</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3</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产出时效</w:t>
            </w: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C3-1项目完成及时性</w:t>
            </w:r>
          </w:p>
        </w:tc>
        <w:tc>
          <w:tcPr>
            <w:tcW w:w="850" w:type="dxa"/>
            <w:vAlign w:val="center"/>
          </w:tcPr>
          <w:p>
            <w:pPr>
              <w:widowControl/>
              <w:jc w:val="center"/>
              <w:textAlignment w:val="center"/>
              <w:rPr>
                <w:rFonts w:ascii="仿宋" w:hAnsi="仿宋" w:eastAsia="仿宋" w:cs="仿宋"/>
                <w:b/>
                <w:color w:val="000000"/>
                <w:szCs w:val="24"/>
              </w:rPr>
            </w:pPr>
            <w:r>
              <w:rPr>
                <w:rFonts w:hint="eastAsia" w:ascii="仿宋" w:hAnsi="仿宋" w:eastAsia="仿宋" w:cs="仿宋"/>
                <w:color w:val="333333"/>
                <w:kern w:val="0"/>
                <w:sz w:val="24"/>
                <w:szCs w:val="24"/>
              </w:rPr>
              <w:t>4</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0</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55"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产出成本</w:t>
            </w:r>
          </w:p>
        </w:tc>
        <w:tc>
          <w:tcPr>
            <w:tcW w:w="4089" w:type="dxa"/>
            <w:vAlign w:val="center"/>
          </w:tcPr>
          <w:p>
            <w:pPr>
              <w:pStyle w:val="18"/>
              <w:spacing w:before="0" w:after="0" w:line="360" w:lineRule="auto"/>
              <w:jc w:val="left"/>
              <w:rPr>
                <w:rFonts w:ascii="仿宋" w:hAnsi="仿宋" w:eastAsia="仿宋" w:cs="仿宋"/>
                <w:b w:val="0"/>
                <w:bCs/>
                <w:color w:val="000000"/>
                <w:szCs w:val="24"/>
              </w:rPr>
            </w:pPr>
            <w:r>
              <w:rPr>
                <w:rFonts w:hint="eastAsia" w:ascii="仿宋" w:hAnsi="仿宋" w:eastAsia="仿宋" w:cs="仿宋"/>
                <w:b w:val="0"/>
                <w:bCs/>
                <w:color w:val="000000"/>
                <w:szCs w:val="24"/>
              </w:rPr>
              <w:t>C4-1 工程建设成本可控性</w:t>
            </w:r>
          </w:p>
        </w:tc>
        <w:tc>
          <w:tcPr>
            <w:tcW w:w="850"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842"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333333"/>
                <w:kern w:val="0"/>
                <w:sz w:val="24"/>
                <w:szCs w:val="24"/>
              </w:rPr>
              <w:t>2</w:t>
            </w:r>
          </w:p>
        </w:tc>
        <w:tc>
          <w:tcPr>
            <w:tcW w:w="1059"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100%</w:t>
            </w:r>
          </w:p>
        </w:tc>
      </w:tr>
    </w:tbl>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C1-1管理用房建设完成率</w:t>
      </w:r>
    </w:p>
    <w:p>
      <w:pPr>
        <w:spacing w:line="560" w:lineRule="exact"/>
        <w:ind w:firstLine="560" w:firstLineChars="200"/>
        <w:rPr>
          <w:rFonts w:ascii="仿宋" w:hAnsi="仿宋" w:eastAsia="仿宋"/>
          <w:sz w:val="28"/>
          <w:szCs w:val="28"/>
        </w:rPr>
      </w:pPr>
      <w:r>
        <w:rPr>
          <w:rFonts w:hint="eastAsia" w:ascii="仿宋" w:hAnsi="仿宋" w:eastAsia="仿宋" w:cs="仿宋"/>
          <w:sz w:val="28"/>
          <w:szCs w:val="28"/>
        </w:rPr>
        <w:t>经评价组核实，项目单位</w:t>
      </w:r>
      <w:r>
        <w:rPr>
          <w:rFonts w:hint="eastAsia" w:ascii="仿宋" w:hAnsi="仿宋" w:eastAsia="仿宋"/>
          <w:sz w:val="28"/>
          <w:szCs w:val="28"/>
        </w:rPr>
        <w:t>计划建设1座管理用房、面积48.95平方米，用于安装监控设备和配电室使用。由于西段有一处钢坝闸，为管理钢坝闸供电设备，增加了一座管理用房，实际完成2座，涑水河东段和西段各一座，结构均为砖混结构，东段管理用房面积48.95平方米，西段管理用房面积29.25平方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C1-2公厕建设完成率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经评价组核实，项目单位已按照规划完成公厕建设任务，分别建设2座固定公厕和2座移动公厕，每个公厕配有管理室，面积分别为55.94平方米、55.07平方米、20.24平方米、20.24平方米。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C1-3 景观工程建设完成率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经评价组核实，景观工程建设完成情况如下：</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原计划修建内容为：4个钢筋混凝土亭、3个木廊架、2个单臂花架、40个文化墙、自动喷灌工程、10个圆形围树椅、18个方形围树椅、雕塑44个、石桌凳26套、果皮箱24个、标识牌43个、景石24个、轮椅停留位置8处。</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实际完成内容：建设4处钢筋混凝土亭，建筑面积各10.89平方米，木廊架3处，单臂花架2个，40个文化墙（仅完成主体、浮雕等未开始施工），18处方形围树椅，10处圆形围树椅，覆盖面积约3.35万㎡自动喷灌工程。</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综上所述，景观工程建设未全部完成，该项目完成率为53.84%，。</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满分2分，根据绩效评价指标，本指标得分1分，得分率50%。</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C1-4 长廊建设完成率</w:t>
      </w:r>
    </w:p>
    <w:p>
      <w:pPr>
        <w:adjustRightInd w:val="0"/>
        <w:snapToGrid w:val="0"/>
        <w:spacing w:line="560" w:lineRule="exact"/>
        <w:ind w:firstLine="560" w:firstLineChars="200"/>
        <w:rPr>
          <w:rFonts w:ascii="仿宋" w:hAnsi="仿宋" w:eastAsia="仿宋" w:cs="仿宋"/>
          <w:b/>
          <w:bCs/>
          <w:color w:val="000000" w:themeColor="text1"/>
          <w:sz w:val="28"/>
          <w:szCs w:val="28"/>
        </w:rPr>
      </w:pPr>
      <w:r>
        <w:rPr>
          <w:rFonts w:hint="eastAsia" w:ascii="仿宋" w:hAnsi="仿宋" w:eastAsia="仿宋" w:cs="仿宋"/>
          <w:sz w:val="28"/>
          <w:szCs w:val="28"/>
        </w:rPr>
        <w:t>经评价组核实，项目单位计划建设4处长廊，单个长廊建筑面积为315.00平方米；实际完成4座，单个长廊建筑面积290.32平方米，实际建设的长廊面积低于规划内容98.72平方米。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满分2分，根据绩效评价指标，本指标得分1.5分，得分率75%。</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C1-5 湖心亭建设完成率</w:t>
      </w:r>
    </w:p>
    <w:p>
      <w:pPr>
        <w:spacing w:line="560" w:lineRule="exact"/>
        <w:ind w:firstLine="560" w:firstLineChars="200"/>
      </w:pPr>
      <w:r>
        <w:rPr>
          <w:rFonts w:hint="eastAsia" w:ascii="仿宋" w:hAnsi="仿宋" w:eastAsia="仿宋" w:cs="仿宋"/>
          <w:sz w:val="28"/>
          <w:szCs w:val="28"/>
        </w:rPr>
        <w:t>经评价组核实，项目单位已按照规划内容完成湖心亭建设任务，共建设湖心亭2座，单个建筑面积16.24平方米，建筑面积总计32.48平方米。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C1-6 道路施工完成率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经评价组核实，项目单位未按照规划内容完成道路铺设任务。截止2021年8月仅完成25公分路基工程，花岗岩路沿石及道路铺设工程尚未完成。</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满分2分，根据绩效评价指标，本指标得分0.5分，得分率25%。</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C1-7 照明工程完成率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单位已购置太阳能路灯279套（150w多头路灯8套、150w单头路灯271套），100w庭院灯56套，50w草坪灯263个，沿河灯带6218.7米。弱电工程已完成，太阳能路灯、庭院灯已安装投入使用，草坪灯、沿河灯带需待道路铺设完成后方可进行安装。</w:t>
      </w:r>
    </w:p>
    <w:p>
      <w:pPr>
        <w:spacing w:line="560" w:lineRule="exact"/>
        <w:ind w:firstLine="560" w:firstLineChars="200"/>
        <w:rPr>
          <w:rFonts w:ascii="仿宋" w:hAnsi="仿宋" w:eastAsia="仿宋" w:cs="仿宋"/>
          <w:sz w:val="28"/>
          <w:szCs w:val="28"/>
        </w:rPr>
      </w:pPr>
      <w:r>
        <w:rPr>
          <w:rFonts w:hint="eastAsia" w:ascii="仿宋" w:hAnsi="仿宋" w:eastAsia="仿宋" w:cs="仿宋"/>
          <w:kern w:val="0"/>
          <w:sz w:val="28"/>
          <w:szCs w:val="28"/>
        </w:rPr>
        <w:t>满分2分，根据绩效评价指标，本指标得分1分，得分率50%。</w:t>
      </w:r>
    </w:p>
    <w:p>
      <w:pPr>
        <w:adjustRightInd w:val="0"/>
        <w:snapToGrid w:val="0"/>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C1-8 汉白玉护栏安装完成率</w:t>
      </w:r>
    </w:p>
    <w:p>
      <w:pPr>
        <w:spacing w:line="560" w:lineRule="exact"/>
        <w:ind w:firstLine="560" w:firstLineChars="200"/>
      </w:pPr>
      <w:r>
        <w:rPr>
          <w:rFonts w:hint="eastAsia" w:ascii="仿宋" w:hAnsi="仿宋" w:eastAsia="仿宋" w:cs="仿宋"/>
          <w:sz w:val="28"/>
          <w:szCs w:val="28"/>
        </w:rPr>
        <w:t>经评价组核实，项目单位已按照规划内容完成5733.44米汉白玉护栏安装任务，安装地点为沿涑水河两岸，东起209国道、西至华晋大道。</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C1-9 浸塑格栅安装完成率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经评价组核实，项目单位已按照规划内容完成浸塑格栅安装任务。浸塑格栅安装位置位于涑水河中间段滞洪区南侧，高1.75米，长2237米。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C1-10 绿化工程完成率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经评价组核实，项目单位已按规划完成绿化工程任务，具体为：绿化面积27887平方米，其中：地被草坪22109平方米，淤积道草坪5778平方米。</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C2-1 工程项目质量合格率</w:t>
      </w:r>
    </w:p>
    <w:p>
      <w:pPr>
        <w:spacing w:line="560" w:lineRule="exact"/>
        <w:ind w:firstLine="560" w:firstLineChars="200"/>
      </w:pPr>
      <w:r>
        <w:rPr>
          <w:rFonts w:hint="eastAsia" w:ascii="仿宋" w:hAnsi="仿宋" w:eastAsia="仿宋" w:cs="仿宋"/>
          <w:sz w:val="28"/>
          <w:szCs w:val="28"/>
        </w:rPr>
        <w:t>经评价组核实，截止2021年8月，由于项目工程尚未完工，未进行验收，只能依据现场勘察内容对工程表面质量进行评价，但无法对道路、护栏等建筑进行专业评价，导致该指标不能进行有效评价。现场勘察的质量瑕疵如下：管理用房墙面粉刷不均匀，墙面污染痕迹严重，门把手损坏；固定卫生间无门把手；汉白玉栏杆打磨痕迹严重，掉块现象，粘接处胶水涂抹痕迹严重；绿化工程成活率低，枯死情况严重，草坪杂草丛生。</w:t>
      </w:r>
    </w:p>
    <w:p>
      <w:pPr>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满分4分，根据绩效评价指标，本指标得分3分，得分率75%。</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C3-1 项目完成及时性</w:t>
      </w:r>
    </w:p>
    <w:p>
      <w:pPr>
        <w:spacing w:line="560" w:lineRule="exact"/>
        <w:ind w:firstLine="560" w:firstLineChars="200"/>
        <w:rPr>
          <w:rFonts w:ascii="仿宋" w:hAnsi="仿宋" w:eastAsia="仿宋" w:cs="仿宋"/>
          <w:bCs/>
          <w:sz w:val="28"/>
          <w:szCs w:val="28"/>
        </w:rPr>
      </w:pPr>
      <w:r>
        <w:rPr>
          <w:rFonts w:hint="eastAsia" w:ascii="仿宋" w:hAnsi="仿宋" w:eastAsia="仿宋" w:cs="仿宋"/>
          <w:sz w:val="28"/>
          <w:szCs w:val="28"/>
        </w:rPr>
        <w:t>经评价组核实，截止2021年8月，由于涑水河主体工程治理工作滞后、环保要求商混不能施工等原因，导致本项目工程无法完工，临猗县水务局</w:t>
      </w:r>
      <w:r>
        <w:rPr>
          <w:rFonts w:hint="eastAsia" w:ascii="仿宋" w:hAnsi="仿宋" w:eastAsia="仿宋" w:cs="仿宋"/>
          <w:bCs/>
          <w:sz w:val="28"/>
          <w:szCs w:val="28"/>
        </w:rPr>
        <w:t>尚未完成工程竣工验收</w:t>
      </w:r>
      <w:r>
        <w:rPr>
          <w:rFonts w:hint="eastAsia" w:ascii="仿宋" w:hAnsi="仿宋" w:eastAsia="仿宋" w:cs="仿宋"/>
          <w:color w:val="000000"/>
          <w:sz w:val="28"/>
          <w:szCs w:val="28"/>
        </w:rPr>
        <w:t>以及工程决算审核</w:t>
      </w:r>
      <w:r>
        <w:rPr>
          <w:rFonts w:hint="eastAsia" w:ascii="仿宋" w:hAnsi="仿宋" w:eastAsia="仿宋" w:cs="仿宋"/>
          <w:bCs/>
          <w:sz w:val="28"/>
          <w:szCs w:val="28"/>
        </w:rPr>
        <w:t>工作，工程竣工验收、决算审核工作不及时，项目验收工作执行不到位。</w:t>
      </w:r>
    </w:p>
    <w:p>
      <w:pPr>
        <w:spacing w:line="560" w:lineRule="exact"/>
        <w:ind w:firstLine="560" w:firstLineChars="200"/>
        <w:rPr>
          <w:rFonts w:ascii="仿宋" w:hAnsi="仿宋" w:eastAsia="仿宋" w:cs="仿宋"/>
          <w:sz w:val="28"/>
          <w:szCs w:val="28"/>
        </w:rPr>
      </w:pPr>
      <w:r>
        <w:rPr>
          <w:rFonts w:hint="eastAsia" w:ascii="仿宋" w:hAnsi="仿宋" w:eastAsia="仿宋" w:cs="仿宋"/>
          <w:kern w:val="0"/>
          <w:sz w:val="28"/>
          <w:szCs w:val="28"/>
        </w:rPr>
        <w:t>满分4分，根据绩效评价指标，本指标得分0分，得分率0%。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C4-1 工程建设成本可控性</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sz w:val="28"/>
          <w:szCs w:val="28"/>
        </w:rPr>
        <w:t>经评价组核实,涑水河临猗县城区段（滞洪区）配套工程项目</w:t>
      </w:r>
      <w:r>
        <w:rPr>
          <w:rFonts w:hint="eastAsia" w:ascii="仿宋" w:hAnsi="仿宋" w:eastAsia="仿宋" w:cs="仿宋"/>
          <w:kern w:val="0"/>
          <w:sz w:val="28"/>
          <w:szCs w:val="28"/>
        </w:rPr>
        <w:t>财政预算价值为24,489,341.00元，合同价为24,304,222.93元，未超出预算价值，合同明细如下：</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261"/>
        <w:gridCol w:w="395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序号</w:t>
            </w:r>
          </w:p>
        </w:tc>
        <w:tc>
          <w:tcPr>
            <w:tcW w:w="1327" w:type="pct"/>
            <w:tcBorders>
              <w:tl2br w:val="nil"/>
              <w:tr2bl w:val="nil"/>
            </w:tcBorders>
            <w:shd w:val="clear" w:color="auto" w:fill="auto"/>
            <w:noWrap/>
            <w:vAlign w:val="center"/>
          </w:tcPr>
          <w:p>
            <w:pPr>
              <w:widowControl/>
              <w:jc w:val="center"/>
              <w:textAlignment w:val="center"/>
              <w:rPr>
                <w:rFonts w:ascii="仿宋" w:hAnsi="仿宋" w:eastAsia="仿宋" w:cs="仿宋"/>
                <w:szCs w:val="21"/>
              </w:rPr>
            </w:pPr>
            <w:r>
              <w:rPr>
                <w:rFonts w:hint="eastAsia" w:ascii="仿宋" w:hAnsi="仿宋" w:eastAsia="仿宋" w:cs="仿宋"/>
                <w:kern w:val="0"/>
                <w:szCs w:val="21"/>
              </w:rPr>
              <w:t>项目</w:t>
            </w:r>
          </w:p>
        </w:tc>
        <w:tc>
          <w:tcPr>
            <w:tcW w:w="2321" w:type="pct"/>
            <w:tcBorders>
              <w:tl2br w:val="nil"/>
              <w:tr2bl w:val="nil"/>
            </w:tcBorders>
            <w:shd w:val="clear" w:color="auto" w:fill="auto"/>
            <w:noWrap/>
            <w:vAlign w:val="center"/>
          </w:tcPr>
          <w:p>
            <w:pPr>
              <w:widowControl/>
              <w:jc w:val="center"/>
              <w:textAlignment w:val="center"/>
              <w:rPr>
                <w:rFonts w:ascii="仿宋" w:hAnsi="仿宋" w:eastAsia="仿宋" w:cs="仿宋"/>
                <w:szCs w:val="21"/>
              </w:rPr>
            </w:pPr>
            <w:r>
              <w:rPr>
                <w:rFonts w:hint="eastAsia" w:ascii="仿宋" w:hAnsi="仿宋" w:eastAsia="仿宋" w:cs="仿宋"/>
                <w:kern w:val="0"/>
                <w:szCs w:val="21"/>
              </w:rPr>
              <w:t>单位名称</w:t>
            </w:r>
          </w:p>
        </w:tc>
        <w:tc>
          <w:tcPr>
            <w:tcW w:w="966" w:type="pct"/>
            <w:tcBorders>
              <w:tl2br w:val="nil"/>
              <w:tr2bl w:val="nil"/>
            </w:tcBorders>
            <w:shd w:val="clear" w:color="auto" w:fill="auto"/>
            <w:noWrap/>
            <w:vAlign w:val="center"/>
          </w:tcPr>
          <w:p>
            <w:pPr>
              <w:widowControl/>
              <w:jc w:val="center"/>
              <w:textAlignment w:val="center"/>
              <w:rPr>
                <w:rFonts w:ascii="仿宋" w:hAnsi="仿宋" w:eastAsia="仿宋" w:cs="仿宋"/>
                <w:szCs w:val="21"/>
              </w:rPr>
            </w:pPr>
            <w:r>
              <w:rPr>
                <w:rFonts w:hint="eastAsia" w:ascii="仿宋" w:hAnsi="仿宋" w:eastAsia="仿宋" w:cs="仿宋"/>
                <w:kern w:val="0"/>
                <w:szCs w:val="21"/>
              </w:rPr>
              <w:t>合同价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规划设计合同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临猗县城乡规划管理事务所</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2</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施工图审查设计合同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运城市天润工程设计审查有限公司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3</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可研报告编制合同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中北工程设计咨询有限公司运城分公司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70,000.00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4</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选址可研合同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中盛弘宇建设科技有限公司太原分公司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95,000.00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5</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工程设计合同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中北工程设计咨询有限公司运城分公司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415,000.00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6</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监理合同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运城市金环工程建设监理有限公司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293,000.00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7</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施工合同一标段</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山西亿承建设工程有限公司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6,892,191.62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8</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施工合同二标段</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晋城市金建建筑有限公司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4,334,781.41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9</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绿化苗木补充合同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晋城市金建建筑有限公司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159,012.47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10</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施工合同三标段</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运城市第一建筑工程有限公司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10,785,890.43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11</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工程设计合同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中北工程设计咨询有限公司运城分公司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31,000.00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12</w:t>
            </w:r>
          </w:p>
        </w:tc>
        <w:tc>
          <w:tcPr>
            <w:tcW w:w="1327"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汉白玉栏杆工程合同</w:t>
            </w:r>
          </w:p>
        </w:tc>
        <w:tc>
          <w:tcPr>
            <w:tcW w:w="2321" w:type="pct"/>
            <w:tcBorders>
              <w:tl2br w:val="nil"/>
              <w:tr2bl w:val="nil"/>
            </w:tcBorders>
            <w:shd w:val="clear" w:color="auto" w:fill="auto"/>
            <w:noWrap/>
            <w:vAlign w:val="center"/>
          </w:tcPr>
          <w:p>
            <w:pPr>
              <w:widowControl/>
              <w:jc w:val="left"/>
              <w:textAlignment w:val="center"/>
              <w:rPr>
                <w:rFonts w:ascii="仿宋" w:hAnsi="仿宋" w:eastAsia="仿宋" w:cs="仿宋"/>
                <w:szCs w:val="21"/>
              </w:rPr>
            </w:pPr>
            <w:r>
              <w:rPr>
                <w:rFonts w:hint="eastAsia" w:ascii="仿宋" w:hAnsi="仿宋" w:eastAsia="仿宋" w:cs="仿宋"/>
                <w:kern w:val="0"/>
                <w:szCs w:val="21"/>
              </w:rPr>
              <w:t>运城市第一建筑工程有限公司</w:t>
            </w: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1,205,347.00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 w:type="pct"/>
            <w:tcBorders>
              <w:tl2br w:val="nil"/>
              <w:tr2bl w:val="nil"/>
            </w:tcBorders>
            <w:shd w:val="clear" w:color="auto" w:fill="auto"/>
            <w:noWrap/>
            <w:vAlign w:val="center"/>
          </w:tcPr>
          <w:p>
            <w:pPr>
              <w:rPr>
                <w:rFonts w:ascii="仿宋" w:hAnsi="仿宋" w:eastAsia="仿宋" w:cs="仿宋"/>
                <w:szCs w:val="21"/>
              </w:rPr>
            </w:pPr>
          </w:p>
        </w:tc>
        <w:tc>
          <w:tcPr>
            <w:tcW w:w="1327" w:type="pct"/>
            <w:tcBorders>
              <w:tl2br w:val="nil"/>
              <w:tr2bl w:val="nil"/>
            </w:tcBorders>
            <w:shd w:val="clear" w:color="auto" w:fill="auto"/>
            <w:noWrap/>
            <w:vAlign w:val="center"/>
          </w:tcPr>
          <w:p>
            <w:pPr>
              <w:widowControl/>
              <w:jc w:val="center"/>
              <w:textAlignment w:val="center"/>
              <w:rPr>
                <w:rFonts w:ascii="仿宋" w:hAnsi="仿宋" w:eastAsia="仿宋" w:cs="仿宋"/>
                <w:szCs w:val="21"/>
              </w:rPr>
            </w:pPr>
            <w:r>
              <w:rPr>
                <w:rFonts w:hint="eastAsia" w:ascii="仿宋" w:hAnsi="仿宋" w:eastAsia="仿宋" w:cs="仿宋"/>
                <w:kern w:val="0"/>
                <w:szCs w:val="21"/>
              </w:rPr>
              <w:t>合计</w:t>
            </w:r>
          </w:p>
        </w:tc>
        <w:tc>
          <w:tcPr>
            <w:tcW w:w="2321" w:type="pct"/>
            <w:tcBorders>
              <w:tl2br w:val="nil"/>
              <w:tr2bl w:val="nil"/>
            </w:tcBorders>
            <w:shd w:val="clear" w:color="auto" w:fill="auto"/>
            <w:noWrap/>
            <w:vAlign w:val="center"/>
          </w:tcPr>
          <w:p>
            <w:pPr>
              <w:rPr>
                <w:rFonts w:ascii="仿宋" w:hAnsi="仿宋" w:eastAsia="仿宋" w:cs="仿宋"/>
                <w:szCs w:val="21"/>
              </w:rPr>
            </w:pPr>
          </w:p>
        </w:tc>
        <w:tc>
          <w:tcPr>
            <w:tcW w:w="966" w:type="pct"/>
            <w:tcBorders>
              <w:tl2br w:val="nil"/>
              <w:tr2bl w:val="nil"/>
            </w:tcBorders>
            <w:shd w:val="clear" w:color="auto" w:fill="auto"/>
            <w:noWrap/>
            <w:vAlign w:val="center"/>
          </w:tcPr>
          <w:p>
            <w:pPr>
              <w:widowControl/>
              <w:jc w:val="right"/>
              <w:textAlignment w:val="center"/>
              <w:rPr>
                <w:rFonts w:ascii="仿宋" w:hAnsi="仿宋" w:eastAsia="仿宋" w:cs="仿宋"/>
                <w:szCs w:val="21"/>
              </w:rPr>
            </w:pPr>
            <w:r>
              <w:rPr>
                <w:rFonts w:hint="eastAsia" w:ascii="仿宋" w:hAnsi="仿宋" w:eastAsia="仿宋" w:cs="仿宋"/>
                <w:kern w:val="0"/>
                <w:szCs w:val="21"/>
              </w:rPr>
              <w:t xml:space="preserve">24,304,222.93 </w:t>
            </w:r>
          </w:p>
        </w:tc>
      </w:tr>
    </w:tbl>
    <w:p>
      <w:pPr>
        <w:spacing w:line="560" w:lineRule="exact"/>
        <w:ind w:left="559" w:leftChars="266"/>
        <w:rPr>
          <w:rFonts w:ascii="仿宋" w:hAnsi="仿宋" w:eastAsia="仿宋" w:cs="仿宋"/>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0" w:firstLineChars="200"/>
        <w:outlineLvl w:val="2"/>
        <w:rPr>
          <w:rFonts w:ascii="仿宋" w:hAnsi="仿宋" w:eastAsia="仿宋" w:cs="仿宋"/>
          <w:sz w:val="28"/>
          <w:szCs w:val="28"/>
        </w:rPr>
      </w:pPr>
      <w:bookmarkStart w:id="71" w:name="_Toc7855"/>
      <w:r>
        <w:rPr>
          <w:rFonts w:hint="eastAsia" w:ascii="仿宋" w:hAnsi="仿宋" w:eastAsia="仿宋" w:cs="仿宋"/>
          <w:sz w:val="28"/>
          <w:szCs w:val="28"/>
        </w:rPr>
        <w:t>4.效益类指标</w:t>
      </w:r>
      <w:bookmarkEnd w:id="71"/>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效益类指标从提升城区防汛治洪能力、改善城市生态环境、</w:t>
      </w:r>
      <w:r>
        <w:rPr>
          <w:rFonts w:hint="eastAsia" w:ascii="仿宋" w:hAnsi="仿宋" w:eastAsia="仿宋" w:cs="仿宋"/>
          <w:bCs/>
          <w:sz w:val="28"/>
          <w:szCs w:val="28"/>
        </w:rPr>
        <w:t>提高群众幸福感、</w:t>
      </w:r>
      <w:r>
        <w:rPr>
          <w:rFonts w:hint="eastAsia" w:ascii="仿宋" w:hAnsi="仿宋" w:eastAsia="仿宋" w:cs="仿宋"/>
          <w:sz w:val="28"/>
          <w:szCs w:val="28"/>
        </w:rPr>
        <w:t>受益对象满意度4个方面对项目的效益情况进行评价，效益类指标分值30分，实际得分23.34分，得分率77.80%。</w:t>
      </w:r>
    </w:p>
    <w:p>
      <w:pPr>
        <w:pStyle w:val="21"/>
        <w:spacing w:line="560" w:lineRule="exact"/>
        <w:rPr>
          <w:rFonts w:ascii="仿宋" w:hAnsi="仿宋" w:eastAsia="仿宋" w:cs="仿宋"/>
        </w:rPr>
      </w:pPr>
      <w:r>
        <w:rPr>
          <w:rFonts w:hint="eastAsia" w:ascii="仿宋" w:hAnsi="仿宋" w:eastAsia="仿宋" w:cs="仿宋"/>
        </w:rPr>
        <w:t>具体得分情况如下表所示：</w:t>
      </w:r>
    </w:p>
    <w:p>
      <w:pPr>
        <w:pStyle w:val="18"/>
        <w:spacing w:line="360" w:lineRule="auto"/>
        <w:rPr>
          <w:rFonts w:ascii="仿宋" w:hAnsi="仿宋" w:eastAsia="仿宋" w:cs="仿宋"/>
          <w:szCs w:val="24"/>
        </w:rPr>
      </w:pPr>
      <w:r>
        <w:rPr>
          <w:rFonts w:hint="eastAsia" w:ascii="仿宋" w:hAnsi="仿宋" w:eastAsia="仿宋" w:cs="仿宋"/>
          <w:szCs w:val="24"/>
        </w:rPr>
        <w:t>表3-5 项目效益类指标得分情况</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161"/>
        <w:gridCol w:w="900"/>
        <w:gridCol w:w="799"/>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526" w:type="dxa"/>
            <w:shd w:val="clear" w:color="000000" w:fill="FFFFFF"/>
          </w:tcPr>
          <w:p>
            <w:pPr>
              <w:pStyle w:val="18"/>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4161"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900"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分值</w:t>
            </w:r>
          </w:p>
        </w:tc>
        <w:tc>
          <w:tcPr>
            <w:tcW w:w="799"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w:t>
            </w:r>
          </w:p>
        </w:tc>
        <w:tc>
          <w:tcPr>
            <w:tcW w:w="1136" w:type="dxa"/>
            <w:shd w:val="clear" w:color="000000" w:fill="FFFFFF"/>
            <w:vAlign w:val="center"/>
          </w:tcPr>
          <w:p>
            <w:pPr>
              <w:pStyle w:val="18"/>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Merge w:val="restart"/>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社会效益</w:t>
            </w:r>
          </w:p>
        </w:tc>
        <w:tc>
          <w:tcPr>
            <w:tcW w:w="4161" w:type="dxa"/>
            <w:vAlign w:val="center"/>
          </w:tcPr>
          <w:p>
            <w:pPr>
              <w:pStyle w:val="18"/>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D1-1 提升城区防汛治洪能力</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7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1136" w:type="dxa"/>
            <w:vAlign w:val="center"/>
          </w:tcPr>
          <w:p>
            <w:pPr>
              <w:widowControl/>
              <w:spacing w:line="360" w:lineRule="auto"/>
              <w:ind w:right="120"/>
              <w:jc w:val="center"/>
              <w:rPr>
                <w:rFonts w:ascii="仿宋" w:hAnsi="仿宋" w:eastAsia="仿宋" w:cs="仿宋"/>
                <w:kern w:val="0"/>
                <w:sz w:val="24"/>
                <w:szCs w:val="24"/>
              </w:rPr>
            </w:pPr>
            <w:r>
              <w:rPr>
                <w:rFonts w:hint="eastAsia" w:ascii="仿宋" w:hAnsi="仿宋" w:eastAsia="仿宋" w:cs="仿宋"/>
                <w:kern w:val="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1526" w:type="dxa"/>
            <w:vMerge w:val="continue"/>
            <w:vAlign w:val="center"/>
          </w:tcPr>
          <w:p>
            <w:pPr>
              <w:pStyle w:val="18"/>
              <w:spacing w:before="0" w:after="0" w:line="360" w:lineRule="auto"/>
              <w:rPr>
                <w:rFonts w:ascii="仿宋" w:hAnsi="仿宋" w:eastAsia="仿宋" w:cs="仿宋"/>
                <w:b w:val="0"/>
                <w:color w:val="000000"/>
                <w:szCs w:val="24"/>
              </w:rPr>
            </w:pPr>
          </w:p>
        </w:tc>
        <w:tc>
          <w:tcPr>
            <w:tcW w:w="4161" w:type="dxa"/>
            <w:vAlign w:val="center"/>
          </w:tcPr>
          <w:p>
            <w:pPr>
              <w:pStyle w:val="18"/>
              <w:spacing w:before="0" w:after="0" w:line="360" w:lineRule="auto"/>
              <w:jc w:val="left"/>
              <w:rPr>
                <w:rFonts w:ascii="仿宋" w:hAnsi="仿宋" w:eastAsia="仿宋" w:cs="仿宋"/>
                <w:b w:val="0"/>
                <w:szCs w:val="24"/>
              </w:rPr>
            </w:pPr>
            <w:r>
              <w:rPr>
                <w:rFonts w:hint="eastAsia" w:ascii="仿宋" w:hAnsi="仿宋" w:eastAsia="仿宋" w:cs="仿宋"/>
                <w:b w:val="0"/>
                <w:bCs/>
                <w:szCs w:val="24"/>
              </w:rPr>
              <w:t xml:space="preserve">D1-2 </w:t>
            </w:r>
            <w:r>
              <w:rPr>
                <w:rFonts w:hint="eastAsia" w:ascii="仿宋" w:hAnsi="仿宋" w:eastAsia="仿宋" w:cs="仿宋"/>
                <w:b w:val="0"/>
                <w:color w:val="000000"/>
                <w:szCs w:val="24"/>
              </w:rPr>
              <w:t>改善城市生态环境</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7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136"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Merge w:val="continue"/>
            <w:vAlign w:val="center"/>
          </w:tcPr>
          <w:p>
            <w:pPr>
              <w:pStyle w:val="18"/>
              <w:spacing w:before="0" w:after="0" w:line="360" w:lineRule="auto"/>
              <w:rPr>
                <w:rFonts w:ascii="仿宋" w:hAnsi="仿宋" w:eastAsia="仿宋" w:cs="仿宋"/>
                <w:b w:val="0"/>
                <w:color w:val="000000"/>
                <w:szCs w:val="24"/>
              </w:rPr>
            </w:pPr>
          </w:p>
        </w:tc>
        <w:tc>
          <w:tcPr>
            <w:tcW w:w="4161" w:type="dxa"/>
            <w:vAlign w:val="center"/>
          </w:tcPr>
          <w:p>
            <w:pPr>
              <w:pStyle w:val="18"/>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D1-3提高群众幸福感</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7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136"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Align w:val="center"/>
          </w:tcPr>
          <w:p>
            <w:pPr>
              <w:pStyle w:val="18"/>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满意度</w:t>
            </w:r>
          </w:p>
        </w:tc>
        <w:tc>
          <w:tcPr>
            <w:tcW w:w="4161" w:type="dxa"/>
            <w:vAlign w:val="center"/>
          </w:tcPr>
          <w:p>
            <w:pPr>
              <w:pStyle w:val="18"/>
              <w:spacing w:before="0" w:after="0" w:line="360" w:lineRule="auto"/>
              <w:jc w:val="left"/>
              <w:rPr>
                <w:rFonts w:ascii="仿宋" w:hAnsi="仿宋" w:eastAsia="仿宋" w:cs="仿宋"/>
                <w:b w:val="0"/>
                <w:szCs w:val="24"/>
              </w:rPr>
            </w:pPr>
            <w:r>
              <w:rPr>
                <w:rFonts w:hint="eastAsia" w:ascii="仿宋" w:hAnsi="仿宋" w:eastAsia="仿宋" w:cs="仿宋"/>
                <w:b w:val="0"/>
                <w:bCs/>
                <w:szCs w:val="24"/>
              </w:rPr>
              <w:t>D2-1 受益对象满意度</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79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9.34</w:t>
            </w:r>
          </w:p>
        </w:tc>
        <w:tc>
          <w:tcPr>
            <w:tcW w:w="1136"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93.40%</w:t>
            </w:r>
          </w:p>
        </w:tc>
      </w:tr>
    </w:tbl>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D1-1 提升城区防汛治洪能力</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原涑水河防洪能力不足，河槽窄小，坡度缓，由于年久失修，河道积淤严重，且没有完整的护堤和护坡工程，一旦发生洪水，洪水无法顺畅下泄、形成漫流，在涑水河两岸形成较长时间滞蓄、淹没周边庄稼，直接威胁两岸人民群众的生命和财产安全。</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项目实施后，滞洪区具有“上吞下吐”的能力，通过节制闸引进部分洪水暂时停蓄，汛期暂时拦滞洪水，削减洪峰流量，减轻下游河道洪水负担，短期阻滞洪水作用，待洪峰过后再徐徐放回原河道。新建的滞洪区可容纳40万立方米水量，保护沿河两岸楚侯、猗氏、牛杜、嵋阳、庙上、七级等多个村庄近万名人民群众生命和财产安全，有效提高了城区防汛治洪能力。</w:t>
      </w:r>
    </w:p>
    <w:p>
      <w:pPr>
        <w:spacing w:line="560" w:lineRule="exact"/>
        <w:ind w:left="559" w:leftChars="266"/>
        <w:rPr>
          <w:rFonts w:ascii="仿宋" w:hAnsi="仿宋" w:eastAsia="仿宋" w:cs="仿宋"/>
          <w:sz w:val="28"/>
          <w:szCs w:val="28"/>
        </w:rPr>
      </w:pPr>
      <w:r>
        <w:rPr>
          <w:rFonts w:hint="eastAsia" w:ascii="仿宋" w:hAnsi="仿宋" w:eastAsia="仿宋" w:cs="仿宋"/>
          <w:kern w:val="0"/>
          <w:sz w:val="28"/>
          <w:szCs w:val="28"/>
        </w:rPr>
        <w:t>满分10分，根据绩效评价指标，本指标得分8分，得分率80%。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D1-2 改善城市生态环境</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项目实施后，对保持涑水河流域区域生态平衡，改善涑水河两岸综合环境,保障黄河水生态环境安全，增加城市空气湿度，调节城市气候，美化城市环境，实现人与自然和谐共处，将起到积极的促进作用。</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经评价组核实，项目实施后涑水河两岸整体绿化效果不佳，绿化带内杂草丛生，存在树木枯死现象，对改善城市生态环境方面造成不利影响。</w:t>
      </w:r>
    </w:p>
    <w:p>
      <w:pPr>
        <w:spacing w:line="560" w:lineRule="exact"/>
        <w:ind w:firstLine="560" w:firstLineChars="200"/>
        <w:rPr>
          <w:rFonts w:ascii="仿宋" w:hAnsi="仿宋" w:eastAsia="仿宋" w:cs="仿宋"/>
          <w:sz w:val="28"/>
          <w:szCs w:val="28"/>
        </w:rPr>
      </w:pPr>
      <w:r>
        <w:rPr>
          <w:rFonts w:hint="eastAsia" w:ascii="仿宋" w:hAnsi="仿宋" w:eastAsia="仿宋" w:cs="仿宋"/>
          <w:kern w:val="0"/>
          <w:sz w:val="28"/>
          <w:szCs w:val="28"/>
        </w:rPr>
        <w:t>满分5分，根据绩效评价指标，本指标得分3分，得分率60%。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D1-3 提高群众幸福感</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通过项目实施，增加了湖心亭、长廊、汉白玉栏杆、景观工程等设施，为县城及周边群众提供新的休闲娱乐场所，对促进临猗县转型发展、可持续发展以及塑造临猗新形象起到积极作用，在一定程度上提高临猗县群众幸福感。</w:t>
      </w:r>
    </w:p>
    <w:p>
      <w:pPr>
        <w:spacing w:line="560" w:lineRule="exact"/>
        <w:ind w:firstLine="560" w:firstLineChars="200"/>
      </w:pPr>
      <w:r>
        <w:rPr>
          <w:rFonts w:hint="eastAsia" w:ascii="仿宋" w:hAnsi="仿宋" w:eastAsia="仿宋" w:cs="仿宋"/>
          <w:sz w:val="28"/>
          <w:szCs w:val="28"/>
        </w:rPr>
        <w:t>经评价组核实，因工程项目进度缓慢、汉白玉栏杆质量存在瑕疵，项目迟迟无法投入使用，对提高群众幸福感造成不利影响。</w:t>
      </w:r>
    </w:p>
    <w:p>
      <w:pPr>
        <w:spacing w:line="560" w:lineRule="exact"/>
        <w:ind w:firstLine="560" w:firstLineChars="200"/>
        <w:rPr>
          <w:rFonts w:ascii="仿宋" w:hAnsi="仿宋" w:eastAsia="仿宋" w:cs="仿宋"/>
          <w:sz w:val="28"/>
          <w:szCs w:val="28"/>
        </w:rPr>
      </w:pPr>
      <w:r>
        <w:rPr>
          <w:rFonts w:hint="eastAsia" w:ascii="仿宋" w:hAnsi="仿宋" w:eastAsia="仿宋" w:cs="仿宋"/>
          <w:kern w:val="0"/>
          <w:sz w:val="28"/>
          <w:szCs w:val="28"/>
        </w:rPr>
        <w:t>满分5分，根据绩效评价指标，本指标得分3分，得分率60%。</w:t>
      </w:r>
    </w:p>
    <w:p>
      <w:pPr>
        <w:spacing w:line="560" w:lineRule="exact"/>
        <w:ind w:firstLine="562" w:firstLineChars="200"/>
        <w:rPr>
          <w:rFonts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D2-1 受益对象满意度</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sz w:val="28"/>
          <w:szCs w:val="28"/>
        </w:rPr>
        <w:t>评价组本次共收回有效问卷221份，其中：电子问卷176份，现场发放45份。根据满意度调查问卷数据信息统计显示，7</w:t>
      </w:r>
      <w:r>
        <w:rPr>
          <w:rFonts w:hint="eastAsia" w:ascii="仿宋" w:hAnsi="仿宋" w:eastAsia="仿宋"/>
          <w:color w:val="000000" w:themeColor="text1"/>
          <w:sz w:val="28"/>
          <w:szCs w:val="28"/>
        </w:rPr>
        <w:t>个题目的总得分为93.36分，受益对象的满意度为93.36%。</w:t>
      </w:r>
    </w:p>
    <w:tbl>
      <w:tblPr>
        <w:tblStyle w:val="11"/>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6"/>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56" w:type="dxa"/>
            <w:vAlign w:val="center"/>
          </w:tcPr>
          <w:p>
            <w:pPr>
              <w:jc w:val="center"/>
              <w:rPr>
                <w:rFonts w:ascii="仿宋" w:hAnsi="仿宋" w:eastAsia="仿宋"/>
                <w:b/>
                <w:kern w:val="0"/>
                <w:szCs w:val="21"/>
              </w:rPr>
            </w:pPr>
            <w:r>
              <w:rPr>
                <w:rFonts w:hint="eastAsia" w:ascii="仿宋" w:hAnsi="仿宋" w:eastAsia="仿宋"/>
                <w:b/>
                <w:kern w:val="0"/>
                <w:szCs w:val="21"/>
              </w:rPr>
              <w:t>满意度评价内容</w:t>
            </w:r>
          </w:p>
        </w:tc>
        <w:tc>
          <w:tcPr>
            <w:tcW w:w="985" w:type="dxa"/>
            <w:vAlign w:val="center"/>
          </w:tcPr>
          <w:p>
            <w:pPr>
              <w:jc w:val="center"/>
              <w:rPr>
                <w:rFonts w:ascii="仿宋" w:hAnsi="仿宋" w:eastAsia="仿宋"/>
                <w:b/>
                <w:kern w:val="0"/>
                <w:szCs w:val="21"/>
              </w:rPr>
            </w:pPr>
            <w:r>
              <w:rPr>
                <w:rFonts w:hint="eastAsia" w:ascii="仿宋" w:hAnsi="仿宋" w:eastAsia="仿宋"/>
                <w:b/>
                <w:kern w:val="0"/>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1.您认为是否有必要实施涑水河滞洪区配套工程（景观工程、绿化工程、道路工程等）</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2.您对景观工程（亲水平台、湖心平台、文化墙、座椅等）使用效果是否满意</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3.您对涑水河周边夜间照明情况是否满意</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4.您对涑水河汉白玉栏杆的安全防护效果是否满意</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5.您对本次项目铺设的道路质量是否满意</w:t>
            </w:r>
          </w:p>
        </w:tc>
        <w:tc>
          <w:tcPr>
            <w:tcW w:w="985" w:type="dxa"/>
            <w:vAlign w:val="center"/>
          </w:tcPr>
          <w:p>
            <w:pPr>
              <w:jc w:val="center"/>
              <w:rPr>
                <w:rFonts w:ascii="仿宋" w:hAnsi="仿宋" w:eastAsia="仿宋"/>
                <w:kern w:val="0"/>
                <w:szCs w:val="21"/>
              </w:rPr>
            </w:pPr>
            <w:r>
              <w:rPr>
                <w:rFonts w:hint="eastAsia" w:ascii="仿宋" w:hAnsi="仿宋" w:eastAsia="仿宋"/>
                <w:kern w:val="0"/>
                <w:szCs w:val="21"/>
              </w:rPr>
              <w:t>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6.您对本次项目修建的公厕使用效果是否满意</w:t>
            </w:r>
          </w:p>
        </w:tc>
        <w:tc>
          <w:tcPr>
            <w:tcW w:w="985" w:type="dxa"/>
            <w:vAlign w:val="center"/>
          </w:tcPr>
          <w:p>
            <w:pPr>
              <w:jc w:val="center"/>
              <w:rPr>
                <w:rFonts w:ascii="仿宋" w:hAnsi="仿宋" w:eastAsia="仿宋"/>
                <w:kern w:val="0"/>
                <w:szCs w:val="21"/>
              </w:rPr>
            </w:pPr>
            <w:r>
              <w:rPr>
                <w:rFonts w:hint="eastAsia" w:ascii="仿宋" w:hAnsi="仿宋" w:eastAsia="仿宋"/>
                <w:kern w:val="0"/>
                <w:szCs w:val="21"/>
              </w:rPr>
              <w:t>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7.您对本次项目修建的绿化工程效果是否满意</w:t>
            </w:r>
          </w:p>
        </w:tc>
        <w:tc>
          <w:tcPr>
            <w:tcW w:w="985" w:type="dxa"/>
            <w:vAlign w:val="center"/>
          </w:tcPr>
          <w:p>
            <w:pPr>
              <w:jc w:val="center"/>
              <w:rPr>
                <w:rFonts w:ascii="仿宋" w:hAnsi="仿宋" w:eastAsia="仿宋"/>
                <w:kern w:val="0"/>
                <w:szCs w:val="21"/>
              </w:rPr>
            </w:pPr>
            <w:r>
              <w:rPr>
                <w:rFonts w:hint="eastAsia" w:ascii="仿宋" w:hAnsi="仿宋" w:eastAsia="仿宋"/>
                <w:kern w:val="0"/>
                <w:szCs w:val="21"/>
              </w:rPr>
              <w:t>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jc w:val="center"/>
              <w:rPr>
                <w:rFonts w:ascii="仿宋" w:hAnsi="仿宋" w:eastAsia="仿宋"/>
                <w:b/>
                <w:kern w:val="0"/>
                <w:szCs w:val="21"/>
              </w:rPr>
            </w:pPr>
            <w:r>
              <w:rPr>
                <w:rFonts w:hint="eastAsia" w:ascii="仿宋" w:hAnsi="仿宋" w:eastAsia="仿宋"/>
                <w:b/>
                <w:kern w:val="0"/>
                <w:szCs w:val="21"/>
              </w:rPr>
              <w:t>综合满意度</w:t>
            </w:r>
          </w:p>
        </w:tc>
        <w:tc>
          <w:tcPr>
            <w:tcW w:w="985" w:type="dxa"/>
            <w:vAlign w:val="center"/>
          </w:tcPr>
          <w:p>
            <w:pPr>
              <w:jc w:val="center"/>
              <w:rPr>
                <w:rFonts w:ascii="仿宋" w:hAnsi="仿宋" w:eastAsia="仿宋"/>
                <w:b/>
                <w:kern w:val="0"/>
                <w:szCs w:val="21"/>
              </w:rPr>
            </w:pPr>
            <w:r>
              <w:rPr>
                <w:rFonts w:hint="eastAsia" w:ascii="仿宋" w:hAnsi="仿宋" w:eastAsia="仿宋"/>
                <w:b/>
                <w:kern w:val="0"/>
                <w:szCs w:val="21"/>
              </w:rPr>
              <w:t>93.36%</w:t>
            </w:r>
          </w:p>
        </w:tc>
      </w:tr>
    </w:tbl>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满分10分，根据绩效评价指标，本指标得分9.34分，得分率93.40%。</w:t>
      </w:r>
    </w:p>
    <w:p>
      <w:pPr>
        <w:adjustRightInd w:val="0"/>
        <w:snapToGrid w:val="0"/>
        <w:spacing w:line="560" w:lineRule="exact"/>
        <w:ind w:firstLine="602" w:firstLineChars="200"/>
        <w:outlineLvl w:val="0"/>
        <w:rPr>
          <w:rFonts w:ascii="仿宋" w:hAnsi="仿宋" w:eastAsia="仿宋" w:cs="仿宋"/>
          <w:b/>
          <w:sz w:val="30"/>
          <w:szCs w:val="30"/>
        </w:rPr>
      </w:pPr>
      <w:bookmarkStart w:id="72" w:name="_Toc30478"/>
      <w:bookmarkStart w:id="73" w:name="_Toc4570"/>
      <w:r>
        <w:rPr>
          <w:rFonts w:hint="eastAsia" w:ascii="仿宋" w:hAnsi="仿宋" w:eastAsia="仿宋" w:cs="仿宋"/>
          <w:b/>
          <w:sz w:val="30"/>
          <w:szCs w:val="30"/>
        </w:rPr>
        <w:t>四、绩效评价结果应用建议</w:t>
      </w:r>
      <w:bookmarkEnd w:id="72"/>
      <w:bookmarkEnd w:id="73"/>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（一）加强督促问题整改。将绩效评价结果及时反馈被评价单位，对被评价单位下达整改通知书，督促单位对存在的问题及时整改，并反馈整改情况，对整改情况进行跟踪调查。</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（二）及时公开评价结果。将绩效评价报告在财政局门户网站上向社会公开，接受社会监督。</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（三）强化评价结果应用。根据项目运行结果，建议如下：</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对于工程质量存在的问题，建议扣减施工方质量保证金或要求其对不合格的项目重新进行施工。</w:t>
      </w:r>
    </w:p>
    <w:p>
      <w:pPr>
        <w:ind w:firstLine="602" w:firstLineChars="200"/>
        <w:outlineLvl w:val="0"/>
        <w:rPr>
          <w:rFonts w:ascii="仿宋" w:hAnsi="仿宋" w:eastAsia="仿宋" w:cs="仿宋"/>
          <w:b/>
          <w:sz w:val="30"/>
          <w:szCs w:val="30"/>
        </w:rPr>
      </w:pPr>
      <w:bookmarkStart w:id="74" w:name="_Toc32740"/>
      <w:bookmarkStart w:id="75" w:name="_Toc29706"/>
      <w:r>
        <w:rPr>
          <w:rFonts w:hint="eastAsia" w:ascii="仿宋" w:hAnsi="仿宋" w:eastAsia="仿宋" w:cs="仿宋"/>
          <w:b/>
          <w:sz w:val="30"/>
          <w:szCs w:val="30"/>
        </w:rPr>
        <w:t>五、存在的问题和建议</w:t>
      </w:r>
      <w:bookmarkEnd w:id="74"/>
      <w:bookmarkEnd w:id="75"/>
    </w:p>
    <w:p>
      <w:pPr>
        <w:spacing w:line="560" w:lineRule="exact"/>
        <w:ind w:firstLine="560" w:firstLineChars="200"/>
        <w:rPr>
          <w:rFonts w:ascii="仿宋" w:hAnsi="仿宋" w:eastAsia="仿宋"/>
          <w:sz w:val="28"/>
          <w:szCs w:val="28"/>
        </w:rPr>
      </w:pPr>
      <w:r>
        <w:rPr>
          <w:rFonts w:hint="eastAsia" w:ascii="仿宋" w:hAnsi="仿宋" w:eastAsia="仿宋"/>
          <w:sz w:val="28"/>
          <w:szCs w:val="28"/>
        </w:rPr>
        <w:t>（一）受各种原因制约，工程进度缓慢，具体为：</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由于该项目为涑水河治理工程的配套工程，工程进度受涑水河治理工程影响较大。该项目自2019年7月开始与运城涑水河治理工程交叉进行，至2020年5月方才开始进行全面施工，截止2021年8月仅完成供电工程、建筑工程、景观工程、路灯安装及喷灌工程项目，道路工程、绿化工程项目尚未完工，无法进行工程验收及决算审计，不能及时投入使用。</w:t>
      </w:r>
    </w:p>
    <w:p>
      <w:pPr>
        <w:spacing w:line="560" w:lineRule="exact"/>
        <w:ind w:firstLine="560" w:firstLineChars="200"/>
        <w:rPr>
          <w:rFonts w:ascii="仿宋" w:hAnsi="仿宋" w:eastAsia="仿宋"/>
          <w:bCs/>
          <w:sz w:val="28"/>
          <w:szCs w:val="28"/>
        </w:rPr>
      </w:pPr>
      <w:r>
        <w:rPr>
          <w:rFonts w:hint="eastAsia" w:ascii="仿宋" w:hAnsi="仿宋" w:eastAsia="仿宋"/>
          <w:sz w:val="28"/>
          <w:szCs w:val="28"/>
        </w:rPr>
        <w:t>建议：</w:t>
      </w:r>
      <w:r>
        <w:rPr>
          <w:rFonts w:hint="eastAsia" w:ascii="仿宋" w:hAnsi="仿宋" w:eastAsia="仿宋" w:cs="仿宋"/>
          <w:sz w:val="28"/>
          <w:szCs w:val="28"/>
        </w:rPr>
        <w:t>临猗县水务局需</w:t>
      </w:r>
      <w:r>
        <w:rPr>
          <w:rFonts w:hint="eastAsia" w:ascii="仿宋" w:hAnsi="仿宋" w:eastAsia="仿宋" w:cs="仿宋"/>
          <w:kern w:val="0"/>
          <w:sz w:val="28"/>
          <w:szCs w:val="28"/>
        </w:rPr>
        <w:t>督促施工、监理单位，</w:t>
      </w:r>
      <w:r>
        <w:rPr>
          <w:rFonts w:hint="eastAsia" w:ascii="仿宋" w:hAnsi="仿宋" w:eastAsia="仿宋"/>
          <w:sz w:val="28"/>
          <w:szCs w:val="28"/>
        </w:rPr>
        <w:t>高度重视项目推进工作，倒排工期、督促项目承建方抓紧时间及早施工，克服该项目存在的客观困难，在保证质量的前提下尽早完工，及时办理竣工验收手续，确保项目早日完工、投入使用，更好的发挥财政资金使用效益。</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（二）项目推动不力，监督考核激励机制不到位</w:t>
      </w:r>
      <w:r>
        <w:rPr>
          <w:rFonts w:hint="eastAsia" w:ascii="仿宋" w:hAnsi="仿宋" w:eastAsia="仿宋"/>
          <w:color w:val="000000"/>
          <w:sz w:val="28"/>
          <w:szCs w:val="28"/>
        </w:rPr>
        <w:t>。</w:t>
      </w:r>
      <w:r>
        <w:rPr>
          <w:rFonts w:hint="eastAsia" w:ascii="仿宋" w:hAnsi="仿宋" w:eastAsia="仿宋" w:cs="仿宋"/>
          <w:sz w:val="28"/>
          <w:szCs w:val="28"/>
        </w:rPr>
        <w:t>临猗县水利局虽派专人前去现场督导检查，但由于缺乏监督考核制度，业务执行缺乏制度制约，工程工期管理工作不到位。</w:t>
      </w:r>
      <w:r>
        <w:rPr>
          <w:rFonts w:hint="eastAsia" w:ascii="仿宋" w:hAnsi="仿宋" w:eastAsia="仿宋"/>
          <w:sz w:val="28"/>
          <w:szCs w:val="28"/>
        </w:rPr>
        <w:t>无成文的</w:t>
      </w:r>
      <w:r>
        <w:rPr>
          <w:rFonts w:hint="eastAsia" w:ascii="仿宋" w:hAnsi="仿宋" w:eastAsia="仿宋"/>
          <w:sz w:val="28"/>
          <w:szCs w:val="28"/>
          <w:lang w:eastAsia="zh-CN"/>
        </w:rPr>
        <w:t>会议记录</w:t>
      </w:r>
      <w:r>
        <w:rPr>
          <w:rFonts w:hint="eastAsia" w:ascii="仿宋" w:hAnsi="仿宋" w:eastAsia="仿宋"/>
          <w:sz w:val="28"/>
          <w:szCs w:val="28"/>
        </w:rPr>
        <w:t>、重点环节监督记录、工程整改记录等资料，</w:t>
      </w:r>
      <w:r>
        <w:rPr>
          <w:rFonts w:hint="eastAsia" w:ascii="仿宋" w:hAnsi="仿宋" w:eastAsia="仿宋" w:cs="仿宋"/>
          <w:sz w:val="28"/>
          <w:szCs w:val="28"/>
        </w:rPr>
        <w:t>无法有效发挥项目督导检查的作用。</w:t>
      </w:r>
    </w:p>
    <w:p>
      <w:pPr>
        <w:spacing w:line="560" w:lineRule="exact"/>
        <w:ind w:firstLine="560" w:firstLineChars="200"/>
        <w:rPr>
          <w:rFonts w:ascii="仿宋" w:hAnsi="仿宋" w:eastAsia="仿宋" w:cs="仿宋"/>
          <w:kern w:val="0"/>
          <w:sz w:val="28"/>
          <w:szCs w:val="28"/>
        </w:rPr>
      </w:pPr>
      <w:r>
        <w:rPr>
          <w:rFonts w:hint="eastAsia" w:ascii="仿宋" w:hAnsi="仿宋" w:eastAsia="仿宋"/>
          <w:sz w:val="28"/>
          <w:szCs w:val="28"/>
        </w:rPr>
        <w:t>建议：项目单位</w:t>
      </w:r>
      <w:r>
        <w:rPr>
          <w:rFonts w:hint="eastAsia" w:ascii="仿宋" w:hAnsi="仿宋" w:eastAsia="仿宋" w:cs="仿宋"/>
          <w:kern w:val="0"/>
          <w:sz w:val="28"/>
          <w:szCs w:val="28"/>
        </w:rPr>
        <w:t>应加强对项目实施的监督检查工作，具体为：在对施工单位进行检查时，保存纸质检查记录、整改意见及回复等资料并及时归档；督促施工单位及监理单位根据《建设项目档案管理规范》的要求，及时提交完整的施工和监理文件；监理单位要认真登记监理日志，遇到问题及时上报项目建设单位。</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（三）项目质量存在瑕疵，设备管理不到位，具体为：</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（1）经</w:t>
      </w:r>
      <w:r>
        <w:rPr>
          <w:rFonts w:hint="eastAsia" w:ascii="仿宋" w:hAnsi="仿宋" w:eastAsia="仿宋" w:cs="仿宋"/>
          <w:sz w:val="28"/>
          <w:szCs w:val="28"/>
        </w:rPr>
        <w:t>评价组现场勘察，白玉栏杆质量存在瑕疵，有划痕、掉块现象，粘接处胶水涂抹和打磨痕迹明显。</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（2）河道两旁绿化工程质量不佳，苗木栽植成活率低，存在枯死，草坪中杂草丛生，整体美观效果较差。</w:t>
      </w:r>
    </w:p>
    <w:p>
      <w:pPr>
        <w:spacing w:line="560" w:lineRule="exact"/>
        <w:ind w:firstLine="560" w:firstLineChars="200"/>
      </w:pPr>
      <w:r>
        <w:rPr>
          <w:rFonts w:hint="eastAsia" w:ascii="仿宋" w:hAnsi="仿宋" w:eastAsia="仿宋" w:cs="仿宋"/>
          <w:sz w:val="28"/>
          <w:szCs w:val="28"/>
        </w:rPr>
        <w:t>（3）监控设备未安装到位，导致附近路段发生盗窃抢劫案、造成公厕设备被盗。</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建议：临猗县水务局应要求施工方对存在瑕疵的栏杆进行修复，必要时对栏杆进行更换。</w:t>
      </w:r>
      <w:r>
        <w:rPr>
          <w:rFonts w:hint="eastAsia" w:ascii="仿宋" w:hAnsi="仿宋" w:eastAsia="仿宋" w:cs="仿宋"/>
          <w:sz w:val="28"/>
          <w:szCs w:val="28"/>
        </w:rPr>
        <w:t>对存活率较低的苗木应采取措施，扣减相应工程款或要求施工方进行补栽。</w:t>
      </w:r>
      <w:r>
        <w:rPr>
          <w:rFonts w:hint="eastAsia" w:ascii="仿宋" w:hAnsi="仿宋" w:eastAsia="仿宋"/>
          <w:sz w:val="28"/>
          <w:szCs w:val="28"/>
        </w:rPr>
        <w:t>严格按照工程规范要求进行验收，确保工程建设质量。做好项目设施移交工作，项目接收单位需加强项目后期管护工作；</w:t>
      </w:r>
      <w:r>
        <w:rPr>
          <w:rFonts w:hint="eastAsia" w:ascii="仿宋" w:hAnsi="仿宋" w:eastAsia="仿宋" w:cs="仿宋"/>
          <w:sz w:val="28"/>
          <w:szCs w:val="28"/>
        </w:rPr>
        <w:t>尽快安装监控设备，保障设施安全，避免盗抢事件发生。</w:t>
      </w:r>
    </w:p>
    <w:p>
      <w:pPr>
        <w:spacing w:line="560" w:lineRule="exact"/>
        <w:ind w:firstLine="560" w:firstLineChars="200"/>
        <w:rPr>
          <w:rFonts w:ascii="仿宋" w:hAnsi="仿宋" w:eastAsia="仿宋" w:cs="宋体"/>
          <w:color w:val="000000"/>
          <w:spacing w:val="-2"/>
          <w:sz w:val="28"/>
          <w:szCs w:val="28"/>
          <w:shd w:val="clear" w:color="auto" w:fill="FFFFFF"/>
        </w:rPr>
      </w:pPr>
      <w:r>
        <w:rPr>
          <w:rFonts w:hint="eastAsia" w:ascii="仿宋" w:hAnsi="仿宋" w:eastAsia="仿宋" w:cs="仿宋"/>
          <w:sz w:val="28"/>
          <w:szCs w:val="28"/>
        </w:rPr>
        <w:t>（四）临猗县水务局“涑水河临猗县城区段（滞洪区）配套工程”项目</w:t>
      </w:r>
      <w:r>
        <w:rPr>
          <w:rFonts w:hint="eastAsia" w:ascii="仿宋" w:hAnsi="仿宋" w:eastAsia="仿宋" w:cs="宋体"/>
          <w:color w:val="000000"/>
          <w:spacing w:val="-2"/>
          <w:sz w:val="28"/>
          <w:szCs w:val="28"/>
          <w:shd w:val="clear" w:color="auto" w:fill="FFFFFF"/>
        </w:rPr>
        <w:t>资金预算编报不严谨，未按工程实施进度申请预算资金，造成财政资金闲置。</w:t>
      </w:r>
    </w:p>
    <w:p>
      <w:pPr>
        <w:adjustRightInd w:val="0"/>
        <w:snapToGrid w:val="0"/>
        <w:spacing w:line="560" w:lineRule="exact"/>
        <w:ind w:firstLine="548" w:firstLineChars="196"/>
        <w:rPr>
          <w:rFonts w:ascii="仿宋" w:hAnsi="仿宋" w:eastAsia="仿宋" w:cs="仿宋"/>
          <w:sz w:val="28"/>
          <w:szCs w:val="28"/>
        </w:rPr>
      </w:pPr>
      <w:r>
        <w:rPr>
          <w:rFonts w:hint="eastAsia" w:ascii="仿宋" w:hAnsi="仿宋" w:eastAsia="仿宋" w:cs="仿宋"/>
          <w:kern w:val="0"/>
          <w:sz w:val="28"/>
          <w:szCs w:val="28"/>
        </w:rPr>
        <w:t>经核实，涑水河临猗县城区段（滞洪区）配套工程项目</w:t>
      </w:r>
      <w:r>
        <w:rPr>
          <w:rFonts w:hint="eastAsia" w:ascii="仿宋" w:hAnsi="仿宋" w:eastAsia="仿宋" w:cs="仿宋"/>
          <w:sz w:val="28"/>
          <w:szCs w:val="28"/>
        </w:rPr>
        <w:t>财政资金共到位</w:t>
      </w:r>
      <w:r>
        <w:rPr>
          <w:rFonts w:hint="eastAsia" w:ascii="仿宋" w:hAnsi="仿宋" w:eastAsia="仿宋"/>
          <w:sz w:val="28"/>
          <w:szCs w:val="28"/>
        </w:rPr>
        <w:t>18,595,000.00</w:t>
      </w:r>
      <w:r>
        <w:rPr>
          <w:rFonts w:hint="eastAsia" w:ascii="仿宋" w:hAnsi="仿宋" w:eastAsia="仿宋" w:cs="仿宋"/>
          <w:kern w:val="0"/>
          <w:sz w:val="28"/>
          <w:szCs w:val="28"/>
        </w:rPr>
        <w:t>元</w:t>
      </w:r>
      <w:r>
        <w:rPr>
          <w:rFonts w:hint="eastAsia" w:ascii="仿宋" w:hAnsi="仿宋" w:eastAsia="仿宋" w:cs="仿宋"/>
          <w:sz w:val="28"/>
          <w:szCs w:val="28"/>
        </w:rPr>
        <w:t>，截止2021年8月已支付14,745,743.10元，结余资金3,849,256.90元。资金结余主要原因为：项目单位按工程预计总资金向财政申请资金额度，但由于部分工程未完工，导致资金无法支付，造成预算资金结余。</w:t>
      </w:r>
    </w:p>
    <w:p>
      <w:pPr>
        <w:spacing w:line="560" w:lineRule="exact"/>
        <w:ind w:firstLine="560" w:firstLineChars="200"/>
        <w:rPr>
          <w:rFonts w:ascii="仿宋" w:hAnsi="仿宋" w:eastAsia="仿宋"/>
          <w:sz w:val="28"/>
          <w:szCs w:val="28"/>
        </w:rPr>
      </w:pPr>
      <w:r>
        <w:rPr>
          <w:rFonts w:hint="eastAsia" w:ascii="仿宋" w:hAnsi="仿宋" w:eastAsia="仿宋" w:cs="仿宋"/>
          <w:sz w:val="28"/>
          <w:szCs w:val="28"/>
        </w:rPr>
        <w:t>建议：临猗县水务局要</w:t>
      </w:r>
      <w:r>
        <w:rPr>
          <w:rFonts w:hint="eastAsia" w:ascii="仿宋" w:hAnsi="仿宋" w:eastAsia="仿宋"/>
          <w:sz w:val="28"/>
          <w:szCs w:val="28"/>
        </w:rPr>
        <w:t>重视项目资金预算申报工作，预算编制力求精细规范。对于专项支出项目，根据投资预算、资金使用计划结合项目进度提出用款申请，并报县财政部门审核，改变原一次性申报全部预算资金的做法。</w:t>
      </w:r>
    </w:p>
    <w:p>
      <w:pPr>
        <w:pStyle w:val="2"/>
        <w:ind w:left="0" w:firstLine="0"/>
        <w:rPr>
          <w:rFonts w:ascii="仿宋" w:hAnsi="仿宋" w:eastAsia="仿宋"/>
          <w:color w:val="000000" w:themeColor="text1"/>
          <w:sz w:val="28"/>
          <w:szCs w:val="28"/>
        </w:rPr>
      </w:pPr>
    </w:p>
    <w:p>
      <w:pPr>
        <w:pStyle w:val="2"/>
        <w:rPr>
          <w:rFonts w:ascii="仿宋" w:hAnsi="仿宋" w:eastAsia="仿宋"/>
          <w:color w:val="000000" w:themeColor="text1"/>
          <w:sz w:val="28"/>
          <w:szCs w:val="28"/>
        </w:rPr>
      </w:pPr>
    </w:p>
    <w:p>
      <w:pPr>
        <w:spacing w:line="560" w:lineRule="exact"/>
        <w:rPr>
          <w:rFonts w:ascii="仿宋" w:hAnsi="仿宋" w:eastAsia="仿宋" w:cs="仿宋"/>
          <w:sz w:val="28"/>
          <w:szCs w:val="28"/>
        </w:rPr>
      </w:pPr>
    </w:p>
    <w:p>
      <w:pPr>
        <w:pStyle w:val="2"/>
        <w:rPr>
          <w:rFonts w:ascii="仿宋" w:hAnsi="仿宋" w:eastAsia="仿宋" w:cs="仿宋"/>
          <w:b w:val="0"/>
          <w:bCs w:val="0"/>
          <w:sz w:val="28"/>
          <w:szCs w:val="28"/>
        </w:rPr>
        <w:sectPr>
          <w:pgSz w:w="11906" w:h="16838"/>
          <w:pgMar w:top="1440" w:right="1800" w:bottom="1440" w:left="1800" w:header="851" w:footer="992" w:gutter="0"/>
          <w:cols w:space="425" w:num="1"/>
          <w:docGrid w:type="lines" w:linePitch="312" w:charSpace="0"/>
        </w:sectPr>
      </w:pPr>
    </w:p>
    <w:p>
      <w:pPr>
        <w:pStyle w:val="3"/>
        <w:spacing w:before="0" w:after="0" w:line="240" w:lineRule="auto"/>
        <w:rPr>
          <w:rStyle w:val="20"/>
          <w:bCs w:val="0"/>
          <w:kern w:val="44"/>
        </w:rPr>
      </w:pPr>
      <w:bookmarkStart w:id="76" w:name="_Toc1787"/>
      <w:bookmarkStart w:id="77" w:name="_Toc30803"/>
      <w:r>
        <w:rPr>
          <w:rStyle w:val="20"/>
          <w:rFonts w:hint="eastAsia"/>
          <w:bCs w:val="0"/>
          <w:kern w:val="44"/>
        </w:rPr>
        <w:t>附件1：                              财政支出项目绩效评价指标体系</w:t>
      </w:r>
      <w:bookmarkEnd w:id="76"/>
      <w:bookmarkEnd w:id="77"/>
    </w:p>
    <w:tbl>
      <w:tblPr>
        <w:tblStyle w:val="11"/>
        <w:tblW w:w="15495" w:type="dxa"/>
        <w:jc w:val="center"/>
        <w:tblLayout w:type="fixed"/>
        <w:tblCellMar>
          <w:top w:w="0" w:type="dxa"/>
          <w:left w:w="108" w:type="dxa"/>
          <w:bottom w:w="0" w:type="dxa"/>
          <w:right w:w="108" w:type="dxa"/>
        </w:tblCellMar>
      </w:tblPr>
      <w:tblGrid>
        <w:gridCol w:w="1169"/>
        <w:gridCol w:w="740"/>
        <w:gridCol w:w="1243"/>
        <w:gridCol w:w="660"/>
        <w:gridCol w:w="1824"/>
        <w:gridCol w:w="708"/>
        <w:gridCol w:w="4104"/>
        <w:gridCol w:w="4255"/>
        <w:gridCol w:w="792"/>
      </w:tblGrid>
      <w:tr>
        <w:tblPrEx>
          <w:tblCellMar>
            <w:top w:w="0" w:type="dxa"/>
            <w:left w:w="108" w:type="dxa"/>
            <w:bottom w:w="0" w:type="dxa"/>
            <w:right w:w="108" w:type="dxa"/>
          </w:tblCellMar>
        </w:tblPrEx>
        <w:trPr>
          <w:trHeight w:val="439" w:hRule="atLeast"/>
          <w:tblHeader/>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一级指标</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分值</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二级指标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分值</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三级指标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分值</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指标解释</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评价标准</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得分</w:t>
            </w:r>
          </w:p>
        </w:tc>
      </w:tr>
      <w:tr>
        <w:tblPrEx>
          <w:tblCellMar>
            <w:top w:w="0" w:type="dxa"/>
            <w:left w:w="108" w:type="dxa"/>
            <w:bottom w:w="0" w:type="dxa"/>
            <w:right w:w="108" w:type="dxa"/>
          </w:tblCellMar>
        </w:tblPrEx>
        <w:trPr>
          <w:trHeight w:val="864" w:hRule="atLeast"/>
          <w:jc w:val="center"/>
        </w:trPr>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决策</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项目立项</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立项依据充分性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项目立项是否符合法律法规、相关政策、发展规划以及部门职责，用以反映和考核项目立项依据情况。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项目立项符合相关政策要求得1分；项目属于财政资金支持范围得1分。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立项程序规范性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项目的申请、设立过程是否符合相关要求,用以反映和考核项目立项的规范情况。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项目的申请履行相关审批程序得1分；项目申请资料齐全、细化得1分。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1152"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绩效目标</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绩效目标合理性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用以反映绩效目标是否依据充分，是否符合客观实际，用以反映和考核绩效目标与项目实施的相符情况。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设定绩效目标得1分；绩效目标与涑水河城区段滞洪区配套工程项目工作内容密切相关得1分；预期产出效益和效果符合正常业绩水平得1分；绩效目标与预算资金量相匹配得1分。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绩效指标明确性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依据绩效目标设定的绩效指标是否明确、细化、量化等，用以反映和考核项目绩效目标的明细化情况。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将绩效目标分解为具体的绩效指标得2分；指标值清晰、可衡量得2分。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r>
      <w:tr>
        <w:tblPrEx>
          <w:tblCellMar>
            <w:top w:w="0" w:type="dxa"/>
            <w:left w:w="108" w:type="dxa"/>
            <w:bottom w:w="0" w:type="dxa"/>
            <w:right w:w="108" w:type="dxa"/>
          </w:tblCellMar>
        </w:tblPrEx>
        <w:trPr>
          <w:trHeight w:val="181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资金投入</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预算编制科学性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项目预算编制是否经过科学论证、有明确标准，资金额度与年度目标是否相适应，用以反映和考核项目预算编制的科学性、合理性情况。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预算编制较为科学得1分；预算额度测算依据充分得1分；预算内容与涑水河城区段滞洪区配套工程项目工作内容相匹配得1分；预算金额与涑水河城区段滞洪区配套工程任务相匹配得1分。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资金分配合理性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项目预算资金分配是否有测算依据，与补助单位或地方实际是否相适应，反映和考核项目预算资金分配的科学性、合理性情况。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预算资金分配依据充分得2分；资金分配额度与涑水河城区段滞洪区配套工程项目实际情况相适应得2分。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r>
      <w:tr>
        <w:tblPrEx>
          <w:tblCellMar>
            <w:top w:w="0" w:type="dxa"/>
            <w:left w:w="108" w:type="dxa"/>
            <w:bottom w:w="0" w:type="dxa"/>
            <w:right w:w="108" w:type="dxa"/>
          </w:tblCellMar>
        </w:tblPrEx>
        <w:trPr>
          <w:trHeight w:val="864" w:hRule="atLeast"/>
          <w:jc w:val="center"/>
        </w:trPr>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过程</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资金管理</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财政资金到位率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实际到位资金与预算资金的比率，用以反映和考核资金落实情况对项目实施的总体保障程度。</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根据财政实际到位资金占预算资金的比重计算得分。到位率100%得2分，未达到100%,不得分。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预算执行率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项目预算资金是否按照计划执行，用以反映或考核项目预算执行情况。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根据项目实际支出资金占实际到位资金的比重计算得分。执行率100%得2分，未达100%，不得分。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0</w:t>
            </w:r>
          </w:p>
        </w:tc>
      </w:tr>
      <w:tr>
        <w:tblPrEx>
          <w:tblCellMar>
            <w:top w:w="0" w:type="dxa"/>
            <w:left w:w="108" w:type="dxa"/>
            <w:bottom w:w="0" w:type="dxa"/>
            <w:right w:w="108" w:type="dxa"/>
          </w:tblCellMar>
        </w:tblPrEx>
        <w:trPr>
          <w:trHeight w:val="1440"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资金使用合规性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项目资金使用是否符合相关财务管理制度规定，用以反映和考核项目资金的规范运行情况。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资金使用符合财务管理制度以及有关专项资金管理办法的规定得1分；资金拨付有完整的审批程序和手续得1分；资金使用符合项目预算批复用途得1分；不存在截留、挤占、挪用、虚列支出等情况得1分。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组织实施</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组织机构健全性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项目建设机构是否健全、分工是否明确。</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项目运行管理机构健全（如设立领导组、工作组等）得1分、分工明确得1分。缺少一项，扣减相应分值，扣完为止。</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1152"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管理制度健全性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项目实施单位的财务和业务管理制度是否健全，用以反映和考核财务和业务管理制度对项目顺利实施的保障情况。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制定管理制度且内容完整（制定有质量验收、工期管理、安全管理制度），得2分；每缺少一项，扣减相应分值，扣完为止。若内容不完整，视严重程度酌情扣分。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r>
      <w:tr>
        <w:tblPrEx>
          <w:tblCellMar>
            <w:top w:w="0" w:type="dxa"/>
            <w:left w:w="108" w:type="dxa"/>
            <w:bottom w:w="0" w:type="dxa"/>
            <w:right w:w="108" w:type="dxa"/>
          </w:tblCellMar>
        </w:tblPrEx>
        <w:trPr>
          <w:trHeight w:val="1440"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制度执行有效性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项目实施是否符合相关管理规定，用以反映和考核相关管理制度的有效执行情况。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在项目实施过程中，遵守相关管理规定得0.5分；项目资料齐全并及时归档得1分（前期实施文件、招投标资料、评审报告、验收资料、施工资料等）；为保障项目顺利实施配备专门人员等条件落实到位得0.5分。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财政预算评审</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考核是否履行财政评审手续。</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按规定对财政投资建设项目履行财政评审手续的，得2分；反之，不得分。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招投标制度执行情况</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考核招投标制度执行落实情况。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项目建设单位按照规定要求履行工程招投标手续，得2分；反之，不得分。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工程监理情况</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工程质量的监督和执行情况。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聘请专业监理公司对工程质量进行监督得1分；监理资料完整、规范得1分；每缺少1项，扣减相应分值。</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r>
      <w:tr>
        <w:tblPrEx>
          <w:tblCellMar>
            <w:top w:w="0" w:type="dxa"/>
            <w:left w:w="108" w:type="dxa"/>
            <w:bottom w:w="0" w:type="dxa"/>
            <w:right w:w="108" w:type="dxa"/>
          </w:tblCellMar>
        </w:tblPrEx>
        <w:trPr>
          <w:trHeight w:val="864" w:hRule="atLeast"/>
          <w:jc w:val="center"/>
        </w:trPr>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产出</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产出数量</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管理用房建设完成率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考核管理用房建设任务完成情况。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按照规划内容完成管理用房建设任务，得2分。未全部完成的，按已建设管理用房数量占规划数量比率计算得分。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920"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公厕建设完成率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考核公厕建设任务完成情况。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按照规划内容完成公厕建设任务，得2分。未全部完成的，按已建设公厕数量占规划数量比率计算得分。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景观工程建设完成率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考核景观工程建设任务完成情况。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按照规划内容完成景观工程建设任务，得2分。未全部完成的，按已完工量占规划量比率计算得分。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长廊建设完成率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考核长廊建设任务完成情况。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按照规划内容完成长廊建设任务，得2分。未全部完成的，按已完工量占规划量比率计算得分。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湖心亭建设完成率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考核湖心亭建设任务完成情况。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按照规划内容完成湖心亭建设任务，得2分。未全部完成的，按已完工量占规划量比率计算得分。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道路施工完成率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考核道路工程完成情况。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按照规划内容完成道路施工任务，得2分。未全部完成的，按已完工量占规划量比率计算得分。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0.5</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照明工程完成率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考核照明工程完成情况。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按照规划内容完成照明工程任务，得2分。未全部完成的，按已完工量占规划量比率计算得分。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汉白玉护栏安装完成率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考核汉白玉护栏安装完成情况。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按照规划内容完成汉白玉护栏安装任务，得2分。未全部完成的，按已完工量占规划量比率计算得分。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浸塑格栅安装完成率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考核浸塑格栅安装完成情况。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按照规划内容完成浸塑格栅安装任务，得2分。未全部完成的，按已完工量占规划量比率计算得分。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绿化工程完成率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考核绿化工程完成情况。</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按照规划内容完成相应工程量，得2分。未全部完成的，按已完工量占规划量比率计算得分。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2</w:t>
            </w:r>
          </w:p>
        </w:tc>
      </w:tr>
      <w:tr>
        <w:tblPrEx>
          <w:tblCellMar>
            <w:top w:w="0" w:type="dxa"/>
            <w:left w:w="108" w:type="dxa"/>
            <w:bottom w:w="0" w:type="dxa"/>
            <w:right w:w="108" w:type="dxa"/>
          </w:tblCellMar>
        </w:tblPrEx>
        <w:trPr>
          <w:trHeight w:val="576"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产出质量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工程项目质量合格率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考核管理用房、景观工程等工程质量是否达标、是否符合规范要求。</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管理用房、景观、绿化等工程符合国家技术规范、各自工程建设质量符合规划内容和标准、且通过质量验收，得4分；反之，根据实际情况酌情扣分。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r>
      <w:tr>
        <w:tblPrEx>
          <w:tblCellMar>
            <w:top w:w="0" w:type="dxa"/>
            <w:left w:w="108" w:type="dxa"/>
            <w:bottom w:w="0" w:type="dxa"/>
            <w:right w:w="108" w:type="dxa"/>
          </w:tblCellMar>
        </w:tblPrEx>
        <w:trPr>
          <w:trHeight w:val="1152"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产出时效</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项目完成及时性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考核各项工程是否按照预计工期按期完成。</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管理用房、景观、绿化等工程在预计时间内完工的，得4分。各项工程未如期完工的，根据迟延时间、未完工量酌情扣分，扣完为止。</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0</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产出成本</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工程建设成本可控性</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考核工程建设成本是否得到控制、是否超出预算金额。</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Cs w:val="21"/>
              </w:rPr>
            </w:pPr>
            <w:r>
              <w:rPr>
                <w:rFonts w:hint="eastAsia" w:ascii="仿宋" w:hAnsi="仿宋" w:eastAsia="仿宋" w:cs="仿宋"/>
                <w:color w:val="000000"/>
                <w:kern w:val="0"/>
                <w:szCs w:val="21"/>
              </w:rPr>
              <w:t>在正常的预算条件下，实际项目成本或中标价未超预算的，得2分；超出预算或中标价5%以下的，得1分；5%以上的不得分。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r>
      <w:tr>
        <w:tblPrEx>
          <w:tblCellMar>
            <w:top w:w="0" w:type="dxa"/>
            <w:left w:w="108" w:type="dxa"/>
            <w:bottom w:w="0" w:type="dxa"/>
            <w:right w:w="108" w:type="dxa"/>
          </w:tblCellMar>
        </w:tblPrEx>
        <w:trPr>
          <w:trHeight w:val="864" w:hRule="atLeast"/>
          <w:jc w:val="center"/>
        </w:trPr>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效益</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333333"/>
                <w:kern w:val="0"/>
                <w:szCs w:val="21"/>
              </w:rPr>
              <w:t>社会效益</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333333"/>
                <w:kern w:val="0"/>
                <w:szCs w:val="21"/>
              </w:rPr>
              <w:t>20</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提升城区防汛治洪能力</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考核项目实施在提升城区防汛治洪能力方面所起的作用。</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涑水河城区段滞洪区配套工程项目实施后，在提升城区防汛治洪能力方面起到积极作用的得10分；效果一般的得6分；效果较差不得分。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333333"/>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333333"/>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改善城市生态环境</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考核项目实施在改善城市生态环境方面所起的作用。</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涑水河城区段滞洪区配套工程项目实施后，在改善城市生态环境方面起到积极作用的得5分；效果一般的得3分；效果不明显不得分。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333333"/>
                <w:szCs w:val="21"/>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333333"/>
                <w:szCs w:val="21"/>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提高群众幸福感</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考核项目实施在提高群众幸福感方面所起的作用。</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涑水河城区段滞洪区配套工程项目实施后，在提高群众幸福感方面起到积极作用的得5分；效果一般的得3分；效果不明显不得分。</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r>
      <w:tr>
        <w:tblPrEx>
          <w:tblCellMar>
            <w:top w:w="0" w:type="dxa"/>
            <w:left w:w="108" w:type="dxa"/>
            <w:bottom w:w="0" w:type="dxa"/>
            <w:right w:w="108" w:type="dxa"/>
          </w:tblCellMar>
        </w:tblPrEx>
        <w:trPr>
          <w:trHeight w:val="864"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333333"/>
                <w:szCs w:val="21"/>
              </w:rPr>
            </w:pPr>
            <w:r>
              <w:rPr>
                <w:rFonts w:hint="eastAsia" w:ascii="仿宋" w:hAnsi="仿宋" w:eastAsia="仿宋" w:cs="仿宋"/>
                <w:color w:val="333333"/>
                <w:kern w:val="0"/>
                <w:szCs w:val="21"/>
              </w:rPr>
              <w:t>10</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受益对象满意度</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县城及周边居民对涑水河城区段滞洪区配套工程的满意程度。</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得分=有效调查问卷分数平均值×100%×10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9.34</w:t>
            </w:r>
          </w:p>
        </w:tc>
      </w:tr>
      <w:tr>
        <w:tblPrEx>
          <w:tblCellMar>
            <w:top w:w="0" w:type="dxa"/>
            <w:left w:w="108" w:type="dxa"/>
            <w:bottom w:w="0" w:type="dxa"/>
            <w:right w:w="108" w:type="dxa"/>
          </w:tblCellMar>
        </w:tblPrEx>
        <w:trPr>
          <w:trHeight w:val="720"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b/>
                <w:bCs/>
                <w:color w:val="000000"/>
                <w:kern w:val="0"/>
                <w:szCs w:val="21"/>
              </w:rPr>
              <w:t>合计　</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b/>
                <w:bCs/>
                <w:color w:val="000000"/>
                <w:kern w:val="0"/>
                <w:szCs w:val="21"/>
              </w:rPr>
              <w:t>100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333333"/>
                <w:szCs w:val="21"/>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333333"/>
                <w:szCs w:val="21"/>
              </w:rPr>
            </w:pPr>
            <w:r>
              <w:rPr>
                <w:rFonts w:hint="eastAsia" w:ascii="仿宋" w:hAnsi="仿宋" w:eastAsia="仿宋" w:cs="仿宋"/>
                <w:b/>
                <w:bCs/>
                <w:color w:val="333333"/>
                <w:kern w:val="0"/>
                <w:szCs w:val="21"/>
              </w:rPr>
              <w:t>100</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b/>
                <w:bCs/>
                <w:color w:val="333333"/>
                <w:kern w:val="0"/>
                <w:szCs w:val="21"/>
              </w:rPr>
              <w:t>100</w:t>
            </w:r>
          </w:p>
        </w:tc>
        <w:tc>
          <w:tcPr>
            <w:tcW w:w="41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Cs w:val="21"/>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Cs w:val="21"/>
              </w:rPr>
            </w:pPr>
            <w:r>
              <w:rPr>
                <w:rFonts w:hint="eastAsia" w:ascii="仿宋" w:hAnsi="仿宋" w:eastAsia="仿宋" w:cs="仿宋"/>
                <w:b/>
                <w:bCs/>
                <w:color w:val="000000"/>
                <w:kern w:val="0"/>
                <w:szCs w:val="21"/>
              </w:rPr>
              <w:t>79.34</w:t>
            </w:r>
          </w:p>
        </w:tc>
      </w:tr>
    </w:tbl>
    <w:p>
      <w:pPr>
        <w:pStyle w:val="2"/>
        <w:sectPr>
          <w:pgSz w:w="16838" w:h="11906" w:orient="landscape"/>
          <w:pgMar w:top="1800" w:right="1440" w:bottom="1800" w:left="1440" w:header="851" w:footer="992" w:gutter="0"/>
          <w:cols w:space="425" w:num="1"/>
          <w:docGrid w:type="lines" w:linePitch="312" w:charSpace="0"/>
        </w:sectPr>
      </w:pPr>
    </w:p>
    <w:p>
      <w:pPr>
        <w:pStyle w:val="3"/>
        <w:spacing w:before="0" w:after="0" w:line="240" w:lineRule="auto"/>
        <w:rPr>
          <w:rFonts w:eastAsia="仿宋"/>
          <w:sz w:val="30"/>
          <w:szCs w:val="30"/>
        </w:rPr>
      </w:pPr>
      <w:bookmarkStart w:id="78" w:name="_Toc3153"/>
      <w:bookmarkStart w:id="79" w:name="_Toc7147"/>
      <w:r>
        <w:rPr>
          <w:rFonts w:hint="eastAsia" w:eastAsia="仿宋"/>
          <w:sz w:val="28"/>
        </w:rPr>
        <w:t xml:space="preserve">附件2：        </w:t>
      </w:r>
      <w:r>
        <w:rPr>
          <w:rFonts w:hint="eastAsia" w:eastAsia="仿宋"/>
          <w:sz w:val="30"/>
          <w:szCs w:val="30"/>
        </w:rPr>
        <w:t>社会调查问卷汇总分析报告</w:t>
      </w:r>
      <w:bookmarkEnd w:id="78"/>
      <w:bookmarkEnd w:id="79"/>
    </w:p>
    <w:p>
      <w:pPr>
        <w:pStyle w:val="3"/>
        <w:spacing w:before="0" w:after="0" w:line="240" w:lineRule="auto"/>
        <w:jc w:val="center"/>
        <w:rPr>
          <w:rFonts w:eastAsia="仿宋"/>
          <w:sz w:val="30"/>
          <w:szCs w:val="30"/>
        </w:rPr>
      </w:pPr>
      <w:bookmarkStart w:id="80" w:name="_Toc29057"/>
      <w:r>
        <w:rPr>
          <w:rFonts w:hint="eastAsia" w:eastAsia="仿宋"/>
          <w:sz w:val="30"/>
          <w:szCs w:val="30"/>
        </w:rPr>
        <w:t>涑水河临猗县城区段（滞洪区）配套工程项目</w:t>
      </w:r>
      <w:bookmarkEnd w:id="80"/>
    </w:p>
    <w:p>
      <w:pPr>
        <w:pStyle w:val="3"/>
        <w:spacing w:before="0" w:after="0" w:line="240" w:lineRule="auto"/>
        <w:jc w:val="center"/>
        <w:rPr>
          <w:rFonts w:eastAsia="仿宋"/>
          <w:sz w:val="30"/>
          <w:szCs w:val="30"/>
        </w:rPr>
      </w:pPr>
      <w:bookmarkStart w:id="81" w:name="_Toc31359"/>
      <w:r>
        <w:rPr>
          <w:rFonts w:hint="eastAsia" w:eastAsia="仿宋"/>
          <w:sz w:val="30"/>
          <w:szCs w:val="30"/>
        </w:rPr>
        <w:t>绩效评价满意度调查</w:t>
      </w:r>
      <w:bookmarkEnd w:id="81"/>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一、调查对象与调查内容</w:t>
      </w:r>
    </w:p>
    <w:p>
      <w:pPr>
        <w:spacing w:line="560" w:lineRule="exact"/>
        <w:ind w:firstLine="560" w:firstLineChars="200"/>
        <w:rPr>
          <w:rFonts w:ascii="仿宋" w:hAnsi="仿宋" w:eastAsia="仿宋"/>
          <w:bCs/>
          <w:sz w:val="28"/>
          <w:szCs w:val="28"/>
        </w:rPr>
      </w:pPr>
      <w:r>
        <w:rPr>
          <w:rFonts w:hint="eastAsia" w:ascii="仿宋" w:hAnsi="仿宋" w:eastAsia="仿宋"/>
          <w:bCs/>
          <w:sz w:val="28"/>
          <w:szCs w:val="28"/>
        </w:rPr>
        <w:t>（一）调查对象</w:t>
      </w:r>
    </w:p>
    <w:p>
      <w:pPr>
        <w:pStyle w:val="19"/>
        <w:spacing w:line="560" w:lineRule="exact"/>
        <w:ind w:firstLine="560"/>
        <w:rPr>
          <w:rFonts w:ascii="仿宋" w:hAnsi="仿宋" w:eastAsia="仿宋"/>
          <w:bCs/>
          <w:sz w:val="28"/>
          <w:szCs w:val="28"/>
        </w:rPr>
      </w:pPr>
      <w:r>
        <w:rPr>
          <w:rFonts w:hint="eastAsia" w:ascii="仿宋" w:hAnsi="仿宋" w:eastAsia="仿宋"/>
          <w:bCs/>
          <w:sz w:val="28"/>
          <w:szCs w:val="28"/>
        </w:rPr>
        <w:t>本次调查对象为临猗县城及周边居民。</w:t>
      </w:r>
    </w:p>
    <w:p>
      <w:pPr>
        <w:pStyle w:val="19"/>
        <w:spacing w:line="560" w:lineRule="exact"/>
        <w:ind w:firstLine="560"/>
        <w:rPr>
          <w:rFonts w:ascii="仿宋" w:hAnsi="仿宋" w:eastAsia="仿宋"/>
          <w:bCs/>
          <w:sz w:val="28"/>
          <w:szCs w:val="28"/>
        </w:rPr>
      </w:pPr>
      <w:r>
        <w:rPr>
          <w:rFonts w:hint="eastAsia" w:ascii="仿宋" w:hAnsi="仿宋" w:eastAsia="仿宋"/>
          <w:bCs/>
          <w:sz w:val="28"/>
          <w:szCs w:val="28"/>
        </w:rPr>
        <w:t>（二）调查内容</w:t>
      </w:r>
    </w:p>
    <w:p>
      <w:pPr>
        <w:pStyle w:val="19"/>
        <w:spacing w:line="560" w:lineRule="exact"/>
        <w:ind w:firstLine="560"/>
        <w:rPr>
          <w:rFonts w:ascii="仿宋" w:hAnsi="仿宋" w:eastAsia="仿宋" w:cs="仿宋"/>
          <w:sz w:val="28"/>
          <w:szCs w:val="28"/>
        </w:rPr>
      </w:pPr>
      <w:r>
        <w:rPr>
          <w:rFonts w:hint="eastAsia" w:ascii="仿宋" w:hAnsi="仿宋" w:eastAsia="仿宋" w:cs="仿宋"/>
          <w:bCs/>
          <w:sz w:val="28"/>
          <w:szCs w:val="28"/>
        </w:rPr>
        <w:t>针对7个方面进行满</w:t>
      </w:r>
      <w:r>
        <w:rPr>
          <w:rFonts w:hint="eastAsia" w:ascii="仿宋" w:hAnsi="仿宋" w:eastAsia="仿宋" w:cs="仿宋"/>
          <w:sz w:val="28"/>
          <w:szCs w:val="28"/>
        </w:rPr>
        <w:t>意度调查，调查内容主要为：</w:t>
      </w:r>
      <w:r>
        <w:rPr>
          <w:rFonts w:hint="eastAsia" w:ascii="仿宋" w:hAnsi="仿宋" w:eastAsia="仿宋" w:cs="仿宋"/>
          <w:bCs/>
          <w:sz w:val="28"/>
          <w:szCs w:val="21"/>
        </w:rPr>
        <w:t>是否有必要实施涑水河滞洪区配套工程（景观工程、绿化工程、道路工程等）</w:t>
      </w:r>
      <w:r>
        <w:rPr>
          <w:rFonts w:hint="eastAsia" w:ascii="仿宋" w:hAnsi="仿宋" w:eastAsia="仿宋" w:cs="仿宋"/>
          <w:sz w:val="28"/>
          <w:szCs w:val="28"/>
        </w:rPr>
        <w:t>；</w:t>
      </w:r>
      <w:r>
        <w:rPr>
          <w:rFonts w:hint="eastAsia" w:ascii="仿宋" w:hAnsi="仿宋" w:eastAsia="仿宋" w:cs="仿宋"/>
          <w:bCs/>
          <w:sz w:val="28"/>
          <w:szCs w:val="21"/>
        </w:rPr>
        <w:t>景观工程（亲水平台、湖心平台、文化墙、座椅等）使用效果</w:t>
      </w:r>
      <w:r>
        <w:rPr>
          <w:rFonts w:hint="eastAsia" w:ascii="仿宋" w:hAnsi="仿宋" w:eastAsia="仿宋" w:cs="仿宋"/>
          <w:sz w:val="28"/>
          <w:szCs w:val="28"/>
        </w:rPr>
        <w:t>；</w:t>
      </w:r>
      <w:r>
        <w:rPr>
          <w:rFonts w:hint="eastAsia" w:ascii="仿宋" w:hAnsi="仿宋" w:eastAsia="仿宋" w:cs="仿宋"/>
          <w:bCs/>
          <w:sz w:val="28"/>
          <w:szCs w:val="21"/>
        </w:rPr>
        <w:t>涑水河周边夜间照明情况</w:t>
      </w:r>
      <w:r>
        <w:rPr>
          <w:rFonts w:hint="eastAsia" w:ascii="仿宋" w:hAnsi="仿宋" w:eastAsia="仿宋" w:cs="仿宋"/>
          <w:sz w:val="28"/>
          <w:szCs w:val="28"/>
        </w:rPr>
        <w:t>；</w:t>
      </w:r>
      <w:r>
        <w:rPr>
          <w:rFonts w:hint="eastAsia" w:ascii="仿宋" w:hAnsi="仿宋" w:eastAsia="仿宋" w:cs="仿宋"/>
          <w:bCs/>
          <w:sz w:val="28"/>
          <w:szCs w:val="21"/>
        </w:rPr>
        <w:t>涑水河汉白玉栏杆的安全防护效果</w:t>
      </w:r>
      <w:r>
        <w:rPr>
          <w:rFonts w:hint="eastAsia" w:ascii="仿宋" w:hAnsi="仿宋" w:eastAsia="仿宋" w:cs="仿宋"/>
          <w:sz w:val="28"/>
          <w:szCs w:val="28"/>
        </w:rPr>
        <w:t>；</w:t>
      </w:r>
      <w:r>
        <w:rPr>
          <w:rFonts w:hint="eastAsia" w:ascii="仿宋" w:hAnsi="仿宋" w:eastAsia="仿宋" w:cs="仿宋"/>
          <w:bCs/>
          <w:sz w:val="28"/>
          <w:szCs w:val="21"/>
        </w:rPr>
        <w:t>铺设的道路质量；公厕使用效果；</w:t>
      </w:r>
      <w:r>
        <w:rPr>
          <w:rFonts w:hint="eastAsia" w:ascii="仿宋" w:hAnsi="仿宋" w:eastAsia="仿宋" w:cs="仿宋"/>
          <w:sz w:val="28"/>
          <w:szCs w:val="28"/>
        </w:rPr>
        <w:t>绿化工程效果。</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二、调查方法与调查方式</w:t>
      </w:r>
    </w:p>
    <w:p>
      <w:pPr>
        <w:spacing w:line="560" w:lineRule="exact"/>
        <w:ind w:firstLine="560" w:firstLineChars="200"/>
        <w:rPr>
          <w:rFonts w:ascii="仿宋" w:hAnsi="仿宋" w:eastAsia="仿宋"/>
          <w:bCs/>
          <w:sz w:val="28"/>
          <w:szCs w:val="28"/>
        </w:rPr>
      </w:pPr>
      <w:r>
        <w:rPr>
          <w:rFonts w:hint="eastAsia" w:ascii="仿宋" w:hAnsi="仿宋" w:eastAsia="仿宋"/>
          <w:bCs/>
          <w:sz w:val="28"/>
          <w:szCs w:val="28"/>
        </w:rPr>
        <w:t>（一）调查方法</w:t>
      </w:r>
    </w:p>
    <w:p>
      <w:pPr>
        <w:pStyle w:val="19"/>
        <w:spacing w:line="560" w:lineRule="exact"/>
        <w:ind w:firstLine="560"/>
        <w:rPr>
          <w:rFonts w:ascii="仿宋" w:hAnsi="仿宋" w:eastAsia="仿宋"/>
          <w:bCs/>
          <w:sz w:val="28"/>
          <w:szCs w:val="28"/>
        </w:rPr>
      </w:pPr>
      <w:r>
        <w:rPr>
          <w:rFonts w:hint="eastAsia" w:ascii="仿宋" w:hAnsi="仿宋" w:eastAsia="仿宋"/>
          <w:bCs/>
          <w:sz w:val="28"/>
          <w:szCs w:val="28"/>
        </w:rPr>
        <w:t>针对上述问卷调查对象开展问卷调查，在问卷调查全面开展之前，先对部分样本问卷进行论证，依据论证结果对问卷和问卷方案进行修改和调整，以保证调研切合实际，顺利进行。</w:t>
      </w:r>
    </w:p>
    <w:p>
      <w:pPr>
        <w:spacing w:line="560" w:lineRule="exact"/>
        <w:ind w:firstLine="560" w:firstLineChars="200"/>
        <w:rPr>
          <w:rFonts w:ascii="仿宋" w:hAnsi="仿宋" w:eastAsia="仿宋"/>
          <w:bCs/>
          <w:sz w:val="28"/>
          <w:szCs w:val="28"/>
        </w:rPr>
      </w:pPr>
      <w:r>
        <w:rPr>
          <w:rFonts w:hint="eastAsia" w:ascii="仿宋" w:hAnsi="仿宋" w:eastAsia="仿宋"/>
          <w:bCs/>
          <w:sz w:val="28"/>
          <w:szCs w:val="28"/>
        </w:rPr>
        <w:t>（二）调查方式</w:t>
      </w:r>
    </w:p>
    <w:p>
      <w:pPr>
        <w:pStyle w:val="22"/>
        <w:spacing w:afterLines="0" w:line="560" w:lineRule="exact"/>
        <w:ind w:firstLine="560"/>
        <w:rPr>
          <w:rFonts w:ascii="仿宋" w:hAnsi="仿宋"/>
          <w:bCs/>
          <w:sz w:val="28"/>
          <w:szCs w:val="28"/>
        </w:rPr>
      </w:pPr>
      <w:r>
        <w:rPr>
          <w:rFonts w:hint="eastAsia" w:ascii="仿宋" w:hAnsi="仿宋"/>
          <w:bCs/>
          <w:sz w:val="28"/>
          <w:szCs w:val="28"/>
        </w:rPr>
        <w:t>本次调查工作人员采用网上电子问卷及现场发放的方式。共收回问卷221份，其中：电子调查问卷176份，现场发放问卷45份。</w:t>
      </w:r>
    </w:p>
    <w:p>
      <w:pPr>
        <w:spacing w:line="560" w:lineRule="exact"/>
        <w:ind w:firstLine="560" w:firstLineChars="200"/>
        <w:rPr>
          <w:rFonts w:ascii="仿宋" w:hAnsi="仿宋" w:eastAsia="仿宋"/>
          <w:bCs/>
          <w:sz w:val="28"/>
          <w:szCs w:val="28"/>
        </w:rPr>
      </w:pPr>
      <w:r>
        <w:rPr>
          <w:rFonts w:hint="eastAsia" w:ascii="仿宋" w:hAnsi="仿宋" w:eastAsia="仿宋"/>
          <w:bCs/>
          <w:sz w:val="28"/>
          <w:szCs w:val="28"/>
        </w:rPr>
        <w:t>（三）调研安排</w:t>
      </w:r>
    </w:p>
    <w:p>
      <w:pPr>
        <w:pStyle w:val="22"/>
        <w:spacing w:afterLines="0" w:line="560" w:lineRule="exact"/>
        <w:ind w:firstLine="560"/>
        <w:rPr>
          <w:rFonts w:ascii="仿宋" w:hAnsi="仿宋"/>
          <w:sz w:val="28"/>
          <w:szCs w:val="28"/>
        </w:rPr>
      </w:pPr>
      <w:r>
        <w:rPr>
          <w:rFonts w:hint="eastAsia" w:ascii="仿宋" w:hAnsi="仿宋"/>
          <w:sz w:val="28"/>
          <w:szCs w:val="28"/>
        </w:rPr>
        <w:t>根据项目进度安排，评价组于2021年9月对调查对象开展问卷调查并回收、分析。</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三、调查问卷的评价方法</w:t>
      </w:r>
    </w:p>
    <w:p>
      <w:pPr>
        <w:pStyle w:val="22"/>
        <w:widowControl w:val="0"/>
        <w:spacing w:afterLines="0" w:line="560" w:lineRule="exact"/>
        <w:ind w:firstLine="560"/>
        <w:rPr>
          <w:rFonts w:ascii="仿宋" w:hAnsi="仿宋"/>
          <w:sz w:val="28"/>
          <w:szCs w:val="28"/>
        </w:rPr>
      </w:pPr>
      <w:r>
        <w:rPr>
          <w:rFonts w:hint="eastAsia" w:ascii="仿宋" w:hAnsi="仿宋"/>
          <w:sz w:val="28"/>
          <w:szCs w:val="28"/>
        </w:rPr>
        <w:t>针对调查问卷设置了7个客观题，总分为100分。客观题各选项的评分值：选项非常满意（A）为100%，选项较为满意（B）为75%，选项一般（C）为50%，选项不满意（D）为0%。根据收回调查问卷数量，分别统计7个客观题选项A、B、C、D各自选择百分比，按7个客观题A、B、C、D选择百分比乘以各选项评分值得出各客观题加权平均满意度得分，然后计算出7个客观题算术平均数，将其作为满意度最终得分。</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四、调查问卷的分析</w:t>
      </w:r>
    </w:p>
    <w:p>
      <w:pPr>
        <w:pStyle w:val="22"/>
        <w:spacing w:afterLines="0" w:line="560" w:lineRule="exact"/>
        <w:ind w:firstLine="560"/>
        <w:rPr>
          <w:rFonts w:ascii="仿宋" w:hAnsi="仿宋"/>
          <w:sz w:val="28"/>
          <w:szCs w:val="28"/>
        </w:rPr>
      </w:pPr>
      <w:r>
        <w:rPr>
          <w:rFonts w:hint="eastAsia" w:ascii="仿宋" w:hAnsi="仿宋"/>
          <w:sz w:val="28"/>
          <w:szCs w:val="28"/>
        </w:rPr>
        <w:t>1、被调查对象代表性分析</w:t>
      </w:r>
    </w:p>
    <w:p>
      <w:pPr>
        <w:pStyle w:val="22"/>
        <w:spacing w:afterLines="0" w:line="560" w:lineRule="exact"/>
        <w:ind w:firstLine="560"/>
        <w:rPr>
          <w:rFonts w:ascii="仿宋" w:hAnsi="仿宋"/>
          <w:sz w:val="28"/>
          <w:szCs w:val="28"/>
        </w:rPr>
      </w:pPr>
      <w:r>
        <w:rPr>
          <w:rFonts w:hint="eastAsia" w:ascii="仿宋" w:hAnsi="仿宋"/>
          <w:sz w:val="28"/>
          <w:szCs w:val="28"/>
        </w:rPr>
        <w:t>（1）基本情况</w:t>
      </w:r>
    </w:p>
    <w:p>
      <w:pPr>
        <w:pStyle w:val="22"/>
        <w:spacing w:afterLines="0" w:line="560" w:lineRule="exact"/>
        <w:ind w:firstLine="560"/>
        <w:rPr>
          <w:rFonts w:ascii="仿宋" w:hAnsi="仿宋"/>
          <w:sz w:val="28"/>
          <w:szCs w:val="28"/>
        </w:rPr>
      </w:pPr>
      <w:r>
        <w:rPr>
          <w:rFonts w:hint="eastAsia" w:ascii="仿宋" w:hAnsi="仿宋"/>
          <w:sz w:val="28"/>
          <w:szCs w:val="28"/>
        </w:rPr>
        <w:t>被调查的对象为临猗县城及周边居民，采取网上电子问卷及现场发放的方式。</w:t>
      </w:r>
    </w:p>
    <w:p>
      <w:pPr>
        <w:pStyle w:val="22"/>
        <w:spacing w:afterLines="0" w:line="560" w:lineRule="exact"/>
        <w:ind w:firstLine="560"/>
        <w:rPr>
          <w:rFonts w:ascii="仿宋" w:hAnsi="仿宋"/>
          <w:sz w:val="28"/>
          <w:szCs w:val="28"/>
        </w:rPr>
      </w:pPr>
      <w:r>
        <w:rPr>
          <w:rFonts w:hint="eastAsia" w:ascii="仿宋" w:hAnsi="仿宋"/>
          <w:sz w:val="28"/>
          <w:szCs w:val="28"/>
        </w:rPr>
        <w:t>（2）样本回收率、有效问卷率</w:t>
      </w:r>
    </w:p>
    <w:p>
      <w:pPr>
        <w:pStyle w:val="22"/>
        <w:spacing w:afterLines="0" w:line="560" w:lineRule="exact"/>
        <w:ind w:firstLine="560"/>
        <w:rPr>
          <w:rFonts w:ascii="仿宋" w:hAnsi="仿宋"/>
          <w:sz w:val="28"/>
          <w:szCs w:val="28"/>
        </w:rPr>
      </w:pPr>
      <w:r>
        <w:rPr>
          <w:rFonts w:hint="eastAsia" w:ascii="仿宋" w:hAnsi="仿宋"/>
          <w:sz w:val="28"/>
          <w:szCs w:val="28"/>
        </w:rPr>
        <w:t>本次调查问卷回收221份，有效问卷221份。</w:t>
      </w:r>
    </w:p>
    <w:p>
      <w:pPr>
        <w:pStyle w:val="22"/>
        <w:spacing w:afterLines="0" w:line="560" w:lineRule="exact"/>
        <w:ind w:firstLine="560"/>
        <w:rPr>
          <w:rFonts w:ascii="仿宋" w:hAnsi="仿宋"/>
          <w:sz w:val="28"/>
          <w:szCs w:val="28"/>
        </w:rPr>
      </w:pPr>
      <w:r>
        <w:rPr>
          <w:rFonts w:hint="eastAsia" w:ascii="仿宋" w:hAnsi="仿宋"/>
          <w:sz w:val="28"/>
          <w:szCs w:val="28"/>
        </w:rPr>
        <w:t>2.基本问题分析</w:t>
      </w:r>
    </w:p>
    <w:p>
      <w:pPr>
        <w:pStyle w:val="22"/>
        <w:spacing w:afterLines="0" w:line="560" w:lineRule="exact"/>
        <w:ind w:firstLine="560"/>
        <w:rPr>
          <w:rFonts w:ascii="仿宋" w:hAnsi="仿宋"/>
          <w:bCs/>
          <w:sz w:val="28"/>
          <w:szCs w:val="21"/>
        </w:rPr>
      </w:pPr>
      <w:r>
        <w:rPr>
          <w:rFonts w:hint="eastAsia" w:ascii="仿宋" w:hAnsi="仿宋"/>
          <w:sz w:val="28"/>
          <w:szCs w:val="28"/>
        </w:rPr>
        <w:t>（1）</w:t>
      </w:r>
      <w:r>
        <w:rPr>
          <w:rFonts w:hint="eastAsia" w:ascii="仿宋" w:hAnsi="仿宋"/>
          <w:bCs/>
          <w:sz w:val="28"/>
          <w:szCs w:val="21"/>
        </w:rPr>
        <w:t>您认为是否有必要实施涑水河滞洪区配套工程（景观工程、绿化工程、道路工程等）</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根据调查问卷结果显示，85.53%的受访者认为非常有必要</w:t>
      </w:r>
      <w:r>
        <w:rPr>
          <w:rFonts w:hint="eastAsia" w:ascii="仿宋" w:hAnsi="仿宋"/>
          <w:bCs/>
          <w:sz w:val="28"/>
          <w:szCs w:val="21"/>
        </w:rPr>
        <w:t>实施涑水河滞洪区配套工程</w:t>
      </w:r>
      <w:r>
        <w:rPr>
          <w:rFonts w:hint="eastAsia" w:ascii="仿宋" w:hAnsi="仿宋"/>
          <w:sz w:val="28"/>
          <w:szCs w:val="28"/>
        </w:rPr>
        <w:t>，12.67%的受访者认为有必要</w:t>
      </w:r>
      <w:r>
        <w:rPr>
          <w:rFonts w:hint="eastAsia" w:ascii="仿宋" w:hAnsi="仿宋"/>
          <w:bCs/>
          <w:sz w:val="28"/>
          <w:szCs w:val="21"/>
        </w:rPr>
        <w:t>实施涑水河滞洪区配套工程</w:t>
      </w:r>
      <w:r>
        <w:rPr>
          <w:rFonts w:hint="eastAsia" w:ascii="仿宋" w:hAnsi="仿宋"/>
          <w:sz w:val="28"/>
          <w:szCs w:val="28"/>
        </w:rPr>
        <w:t>，0.90%的受访者对是否有必要</w:t>
      </w:r>
      <w:r>
        <w:rPr>
          <w:rFonts w:hint="eastAsia" w:ascii="仿宋" w:hAnsi="仿宋"/>
          <w:bCs/>
          <w:sz w:val="28"/>
          <w:szCs w:val="21"/>
        </w:rPr>
        <w:t>实施涑水河滞洪区配套工程持一般态度，0.90</w:t>
      </w:r>
      <w:r>
        <w:rPr>
          <w:rFonts w:hint="eastAsia" w:ascii="仿宋" w:hAnsi="仿宋"/>
          <w:sz w:val="28"/>
          <w:szCs w:val="28"/>
        </w:rPr>
        <w:t>%的受访者认为没有必要</w:t>
      </w:r>
      <w:r>
        <w:rPr>
          <w:rFonts w:hint="eastAsia" w:ascii="仿宋" w:hAnsi="仿宋"/>
          <w:bCs/>
          <w:sz w:val="28"/>
          <w:szCs w:val="21"/>
        </w:rPr>
        <w:t>实施涑水河滞洪区配套工程</w:t>
      </w:r>
      <w:r>
        <w:rPr>
          <w:rFonts w:hint="eastAsia" w:ascii="仿宋" w:hAnsi="仿宋"/>
          <w:sz w:val="28"/>
          <w:szCs w:val="28"/>
        </w:rPr>
        <w:t>。分析得出，受访者认为非常有必要</w:t>
      </w:r>
      <w:r>
        <w:rPr>
          <w:rFonts w:hint="eastAsia" w:ascii="仿宋" w:hAnsi="仿宋"/>
          <w:bCs/>
          <w:sz w:val="28"/>
          <w:szCs w:val="21"/>
        </w:rPr>
        <w:t>实施涑水河滞洪区配套工程</w:t>
      </w:r>
      <w:r>
        <w:rPr>
          <w:rFonts w:hint="eastAsia" w:ascii="仿宋" w:hAnsi="仿宋"/>
          <w:sz w:val="28"/>
          <w:szCs w:val="28"/>
        </w:rPr>
        <w:t>。</w:t>
      </w:r>
    </w:p>
    <w:p>
      <w:pPr>
        <w:tabs>
          <w:tab w:val="left" w:pos="763"/>
        </w:tabs>
        <w:spacing w:line="560" w:lineRule="exact"/>
        <w:ind w:firstLine="560" w:firstLineChars="200"/>
        <w:jc w:val="left"/>
        <w:rPr>
          <w:rFonts w:ascii="仿宋" w:hAnsi="仿宋" w:eastAsia="仿宋"/>
          <w:bCs/>
          <w:sz w:val="28"/>
          <w:szCs w:val="21"/>
        </w:rPr>
      </w:pPr>
      <w:r>
        <w:rPr>
          <w:rFonts w:hint="eastAsia" w:ascii="仿宋" w:hAnsi="仿宋"/>
          <w:bCs/>
          <w:sz w:val="28"/>
          <w:szCs w:val="21"/>
        </w:rPr>
        <w:t>（2）</w:t>
      </w:r>
      <w:r>
        <w:rPr>
          <w:rFonts w:hint="eastAsia" w:ascii="仿宋" w:hAnsi="仿宋" w:eastAsia="仿宋"/>
          <w:bCs/>
          <w:sz w:val="28"/>
          <w:szCs w:val="21"/>
        </w:rPr>
        <w:t>您对景观工程（亲水平台、湖心平台、文化墙、座椅等）使用效果是否满意</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根据调查问卷结果显示，86.43%的受访者对</w:t>
      </w:r>
      <w:r>
        <w:rPr>
          <w:rFonts w:hint="eastAsia" w:ascii="仿宋" w:hAnsi="仿宋"/>
          <w:bCs/>
          <w:sz w:val="28"/>
          <w:szCs w:val="21"/>
        </w:rPr>
        <w:t>景观工程使用效果</w:t>
      </w:r>
      <w:r>
        <w:rPr>
          <w:rFonts w:hint="eastAsia" w:ascii="仿宋" w:hAnsi="仿宋"/>
          <w:sz w:val="28"/>
          <w:szCs w:val="28"/>
        </w:rPr>
        <w:t>非常满意，12.67%的受访者对</w:t>
      </w:r>
      <w:r>
        <w:rPr>
          <w:rFonts w:hint="eastAsia" w:ascii="仿宋" w:hAnsi="仿宋"/>
          <w:bCs/>
          <w:sz w:val="28"/>
          <w:szCs w:val="21"/>
        </w:rPr>
        <w:t>景观工程使用效果较为满意</w:t>
      </w:r>
      <w:r>
        <w:rPr>
          <w:rFonts w:hint="eastAsia" w:ascii="仿宋" w:hAnsi="仿宋"/>
          <w:sz w:val="28"/>
          <w:szCs w:val="28"/>
        </w:rPr>
        <w:t>，0.90%的受访者对</w:t>
      </w:r>
      <w:r>
        <w:rPr>
          <w:rFonts w:hint="eastAsia" w:ascii="仿宋" w:hAnsi="仿宋"/>
          <w:bCs/>
          <w:sz w:val="28"/>
          <w:szCs w:val="21"/>
        </w:rPr>
        <w:t>景观工程使用效果满意度</w:t>
      </w:r>
      <w:r>
        <w:rPr>
          <w:rFonts w:hint="eastAsia" w:ascii="仿宋" w:hAnsi="仿宋"/>
          <w:sz w:val="28"/>
          <w:szCs w:val="28"/>
        </w:rPr>
        <w:t>一般。分析得出，受访者对</w:t>
      </w:r>
      <w:r>
        <w:rPr>
          <w:rFonts w:hint="eastAsia" w:ascii="仿宋" w:hAnsi="仿宋"/>
          <w:bCs/>
          <w:sz w:val="28"/>
          <w:szCs w:val="21"/>
        </w:rPr>
        <w:t>景观工程使用效果</w:t>
      </w:r>
      <w:r>
        <w:rPr>
          <w:rFonts w:hint="eastAsia" w:ascii="仿宋" w:hAnsi="仿宋"/>
          <w:sz w:val="28"/>
          <w:szCs w:val="28"/>
        </w:rPr>
        <w:t>非常满意。</w:t>
      </w:r>
    </w:p>
    <w:p>
      <w:pPr>
        <w:pStyle w:val="22"/>
        <w:spacing w:afterLines="0" w:line="560" w:lineRule="exact"/>
        <w:ind w:firstLine="560"/>
        <w:rPr>
          <w:rFonts w:ascii="仿宋" w:hAnsi="仿宋"/>
          <w:sz w:val="28"/>
          <w:szCs w:val="28"/>
        </w:rPr>
      </w:pPr>
      <w:r>
        <w:rPr>
          <w:rFonts w:hint="eastAsia" w:ascii="仿宋" w:hAnsi="仿宋"/>
          <w:sz w:val="28"/>
          <w:szCs w:val="28"/>
        </w:rPr>
        <w:t>（3）</w:t>
      </w:r>
      <w:r>
        <w:rPr>
          <w:rFonts w:hint="eastAsia" w:ascii="仿宋" w:hAnsi="仿宋"/>
          <w:bCs/>
          <w:sz w:val="28"/>
          <w:szCs w:val="21"/>
        </w:rPr>
        <w:t>您对涑水河周边夜间照明情况是否满意</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根据调查问卷结果显示，81.46%的受访者对</w:t>
      </w:r>
      <w:r>
        <w:rPr>
          <w:rFonts w:hint="eastAsia" w:ascii="仿宋" w:hAnsi="仿宋"/>
          <w:bCs/>
          <w:sz w:val="28"/>
          <w:szCs w:val="21"/>
        </w:rPr>
        <w:t>涑水河周边夜间照明情况</w:t>
      </w:r>
      <w:r>
        <w:rPr>
          <w:rFonts w:hint="eastAsia" w:ascii="仿宋" w:hAnsi="仿宋"/>
          <w:sz w:val="28"/>
          <w:szCs w:val="28"/>
        </w:rPr>
        <w:t>非常满意，7.69%的受访者对</w:t>
      </w:r>
      <w:r>
        <w:rPr>
          <w:rFonts w:hint="eastAsia" w:ascii="仿宋" w:hAnsi="仿宋"/>
          <w:bCs/>
          <w:sz w:val="28"/>
          <w:szCs w:val="21"/>
        </w:rPr>
        <w:t>涑水河周边夜间照明情况较为</w:t>
      </w:r>
      <w:r>
        <w:rPr>
          <w:rFonts w:hint="eastAsia" w:ascii="仿宋" w:hAnsi="仿宋"/>
          <w:sz w:val="28"/>
          <w:szCs w:val="28"/>
        </w:rPr>
        <w:t>满意，9.95%的受访者对</w:t>
      </w:r>
      <w:r>
        <w:rPr>
          <w:rFonts w:hint="eastAsia" w:ascii="仿宋" w:hAnsi="仿宋"/>
          <w:bCs/>
          <w:sz w:val="28"/>
          <w:szCs w:val="21"/>
        </w:rPr>
        <w:t>涑水河周边夜间照明情况满意度</w:t>
      </w:r>
      <w:r>
        <w:rPr>
          <w:rFonts w:hint="eastAsia" w:ascii="仿宋" w:hAnsi="仿宋"/>
          <w:sz w:val="28"/>
          <w:szCs w:val="28"/>
        </w:rPr>
        <w:t>一般，0.90%的受访者对</w:t>
      </w:r>
      <w:r>
        <w:rPr>
          <w:rFonts w:hint="eastAsia" w:ascii="仿宋" w:hAnsi="仿宋"/>
          <w:bCs/>
          <w:sz w:val="28"/>
          <w:szCs w:val="21"/>
        </w:rPr>
        <w:t>涑水河周边夜间照明情况</w:t>
      </w:r>
      <w:r>
        <w:rPr>
          <w:rFonts w:hint="eastAsia" w:ascii="仿宋" w:hAnsi="仿宋"/>
          <w:sz w:val="28"/>
          <w:szCs w:val="28"/>
        </w:rPr>
        <w:t>不满意。分析得出，受访者对</w:t>
      </w:r>
      <w:r>
        <w:rPr>
          <w:rFonts w:hint="eastAsia" w:ascii="仿宋" w:hAnsi="仿宋"/>
          <w:bCs/>
          <w:sz w:val="28"/>
          <w:szCs w:val="21"/>
        </w:rPr>
        <w:t>涑水河周边夜间照明情况</w:t>
      </w:r>
      <w:r>
        <w:rPr>
          <w:rFonts w:hint="eastAsia" w:ascii="仿宋" w:hAnsi="仿宋"/>
          <w:sz w:val="28"/>
          <w:szCs w:val="28"/>
        </w:rPr>
        <w:t>非常满意。</w:t>
      </w:r>
    </w:p>
    <w:p>
      <w:pPr>
        <w:spacing w:line="560" w:lineRule="exact"/>
        <w:ind w:firstLine="560" w:firstLineChars="200"/>
        <w:rPr>
          <w:rFonts w:ascii="仿宋" w:hAnsi="仿宋" w:eastAsia="仿宋"/>
          <w:kern w:val="0"/>
          <w:sz w:val="28"/>
          <w:szCs w:val="28"/>
        </w:rPr>
      </w:pPr>
      <w:r>
        <w:rPr>
          <w:rFonts w:hint="eastAsia" w:ascii="仿宋" w:hAnsi="仿宋" w:eastAsia="仿宋"/>
          <w:kern w:val="0"/>
          <w:sz w:val="28"/>
          <w:szCs w:val="28"/>
        </w:rPr>
        <w:t>（4）</w:t>
      </w:r>
      <w:r>
        <w:rPr>
          <w:rFonts w:hint="eastAsia" w:ascii="仿宋" w:hAnsi="仿宋" w:eastAsia="仿宋"/>
          <w:bCs/>
          <w:sz w:val="28"/>
          <w:szCs w:val="21"/>
        </w:rPr>
        <w:t>您对涑水河汉白玉栏杆的安全防护效果是否满意</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根据调查问卷结果显示，83.26%的受访者</w:t>
      </w:r>
      <w:r>
        <w:rPr>
          <w:rFonts w:hint="eastAsia" w:ascii="仿宋" w:hAnsi="仿宋"/>
          <w:bCs/>
          <w:sz w:val="28"/>
          <w:szCs w:val="21"/>
        </w:rPr>
        <w:t>对涑水河汉白玉栏杆的安全防护效果</w:t>
      </w:r>
      <w:r>
        <w:rPr>
          <w:rFonts w:hint="eastAsia" w:ascii="仿宋" w:hAnsi="仿宋"/>
          <w:sz w:val="28"/>
          <w:szCs w:val="28"/>
        </w:rPr>
        <w:t>非常满意，11.31%的受访者对</w:t>
      </w:r>
      <w:r>
        <w:rPr>
          <w:rFonts w:hint="eastAsia" w:ascii="仿宋" w:hAnsi="仿宋"/>
          <w:bCs/>
          <w:sz w:val="28"/>
          <w:szCs w:val="21"/>
        </w:rPr>
        <w:t>涑水河汉白玉栏杆的安全防护效果较为</w:t>
      </w:r>
      <w:r>
        <w:rPr>
          <w:rFonts w:hint="eastAsia" w:ascii="仿宋" w:hAnsi="仿宋"/>
          <w:sz w:val="28"/>
          <w:szCs w:val="28"/>
        </w:rPr>
        <w:t>满意，4.98%的受访者对</w:t>
      </w:r>
      <w:r>
        <w:rPr>
          <w:rFonts w:hint="eastAsia" w:ascii="仿宋" w:hAnsi="仿宋"/>
          <w:bCs/>
          <w:sz w:val="28"/>
          <w:szCs w:val="21"/>
        </w:rPr>
        <w:t>涑水河汉白玉栏杆的安全防护效果满意度</w:t>
      </w:r>
      <w:r>
        <w:rPr>
          <w:rFonts w:hint="eastAsia" w:ascii="仿宋" w:hAnsi="仿宋"/>
          <w:sz w:val="28"/>
          <w:szCs w:val="28"/>
        </w:rPr>
        <w:t>一般，0.45%的受访者对</w:t>
      </w:r>
      <w:r>
        <w:rPr>
          <w:rFonts w:hint="eastAsia" w:ascii="仿宋" w:hAnsi="仿宋"/>
          <w:bCs/>
          <w:sz w:val="28"/>
          <w:szCs w:val="21"/>
        </w:rPr>
        <w:t>涑水河汉白玉栏杆的安全防护效果</w:t>
      </w:r>
      <w:r>
        <w:rPr>
          <w:rFonts w:hint="eastAsia" w:ascii="仿宋" w:hAnsi="仿宋"/>
          <w:sz w:val="28"/>
          <w:szCs w:val="28"/>
        </w:rPr>
        <w:t>不满意。分析得出，受访者对</w:t>
      </w:r>
      <w:r>
        <w:rPr>
          <w:rFonts w:hint="eastAsia" w:ascii="仿宋" w:hAnsi="仿宋"/>
          <w:bCs/>
          <w:sz w:val="28"/>
          <w:szCs w:val="21"/>
        </w:rPr>
        <w:t>涑水河汉白玉栏杆的安全防护效果</w:t>
      </w:r>
      <w:r>
        <w:rPr>
          <w:rFonts w:hint="eastAsia" w:ascii="仿宋" w:hAnsi="仿宋"/>
          <w:sz w:val="28"/>
          <w:szCs w:val="28"/>
        </w:rPr>
        <w:t>非常满意。</w:t>
      </w:r>
    </w:p>
    <w:p>
      <w:pPr>
        <w:pStyle w:val="19"/>
        <w:spacing w:line="560" w:lineRule="exact"/>
        <w:ind w:firstLine="560"/>
        <w:rPr>
          <w:rFonts w:ascii="仿宋" w:hAnsi="仿宋" w:eastAsia="仿宋"/>
          <w:sz w:val="28"/>
          <w:szCs w:val="28"/>
        </w:rPr>
      </w:pPr>
      <w:r>
        <w:rPr>
          <w:rFonts w:hint="eastAsia" w:ascii="仿宋" w:hAnsi="仿宋" w:eastAsia="仿宋"/>
          <w:kern w:val="0"/>
          <w:sz w:val="28"/>
          <w:szCs w:val="28"/>
        </w:rPr>
        <w:t>（5）</w:t>
      </w:r>
      <w:r>
        <w:rPr>
          <w:rFonts w:hint="eastAsia" w:ascii="仿宋" w:hAnsi="仿宋" w:eastAsia="仿宋"/>
          <w:bCs/>
          <w:sz w:val="28"/>
          <w:szCs w:val="21"/>
        </w:rPr>
        <w:t>您对本次项目铺设的道路质量是否满意</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根据调查问卷结果显示，80.10%的受访者</w:t>
      </w:r>
      <w:r>
        <w:rPr>
          <w:rFonts w:hint="eastAsia" w:ascii="仿宋" w:hAnsi="仿宋"/>
          <w:bCs/>
          <w:sz w:val="28"/>
          <w:szCs w:val="21"/>
        </w:rPr>
        <w:t>对本次项目铺设的道路质量</w:t>
      </w:r>
      <w:r>
        <w:rPr>
          <w:rFonts w:hint="eastAsia" w:ascii="仿宋" w:hAnsi="仿宋"/>
          <w:sz w:val="28"/>
          <w:szCs w:val="28"/>
        </w:rPr>
        <w:t>非常满意，8.14%的受访者</w:t>
      </w:r>
      <w:r>
        <w:rPr>
          <w:rFonts w:hint="eastAsia" w:ascii="仿宋" w:hAnsi="仿宋"/>
          <w:bCs/>
          <w:sz w:val="28"/>
          <w:szCs w:val="21"/>
        </w:rPr>
        <w:t>对本次项目铺设的道路质量</w:t>
      </w:r>
      <w:r>
        <w:rPr>
          <w:rFonts w:hint="eastAsia" w:ascii="仿宋" w:hAnsi="仿宋"/>
          <w:sz w:val="28"/>
          <w:szCs w:val="28"/>
        </w:rPr>
        <w:t>较为满意，6.33%的受访者对</w:t>
      </w:r>
      <w:r>
        <w:rPr>
          <w:rFonts w:hint="eastAsia" w:ascii="仿宋" w:hAnsi="仿宋"/>
          <w:bCs/>
          <w:sz w:val="28"/>
          <w:szCs w:val="21"/>
        </w:rPr>
        <w:t>本次项目铺设的道路质量满意度</w:t>
      </w:r>
      <w:r>
        <w:rPr>
          <w:rFonts w:hint="eastAsia" w:ascii="仿宋" w:hAnsi="仿宋"/>
          <w:sz w:val="28"/>
          <w:szCs w:val="28"/>
        </w:rPr>
        <w:t>一般，5.43%的受访</w:t>
      </w:r>
    </w:p>
    <w:p>
      <w:pPr>
        <w:spacing w:line="560" w:lineRule="exact"/>
        <w:ind w:firstLine="560" w:firstLineChars="200"/>
        <w:jc w:val="left"/>
        <w:rPr>
          <w:rFonts w:ascii="仿宋" w:hAnsi="仿宋" w:eastAsia="仿宋"/>
          <w:kern w:val="0"/>
          <w:sz w:val="28"/>
          <w:szCs w:val="28"/>
        </w:rPr>
      </w:pPr>
      <w:r>
        <w:rPr>
          <w:rFonts w:hint="eastAsia" w:ascii="仿宋" w:hAnsi="仿宋" w:eastAsia="仿宋"/>
          <w:kern w:val="0"/>
          <w:sz w:val="28"/>
          <w:szCs w:val="28"/>
        </w:rPr>
        <w:t>者对本次项目铺设的道路质量不满意。分析得出，受访者对本次项目铺设的道路质量非常满意。</w:t>
      </w:r>
    </w:p>
    <w:p>
      <w:pPr>
        <w:pStyle w:val="19"/>
        <w:spacing w:line="560" w:lineRule="exact"/>
        <w:ind w:firstLine="560"/>
        <w:rPr>
          <w:rFonts w:ascii="仿宋" w:hAnsi="仿宋" w:eastAsia="仿宋"/>
          <w:sz w:val="28"/>
          <w:szCs w:val="28"/>
        </w:rPr>
      </w:pPr>
      <w:r>
        <w:rPr>
          <w:rFonts w:hint="eastAsia" w:ascii="仿宋" w:hAnsi="仿宋" w:eastAsia="仿宋"/>
          <w:kern w:val="0"/>
          <w:sz w:val="28"/>
          <w:szCs w:val="28"/>
        </w:rPr>
        <w:t>（6）</w:t>
      </w:r>
      <w:r>
        <w:rPr>
          <w:rFonts w:hint="eastAsia" w:ascii="仿宋" w:hAnsi="仿宋" w:eastAsia="仿宋"/>
          <w:bCs/>
          <w:sz w:val="28"/>
          <w:szCs w:val="21"/>
        </w:rPr>
        <w:t>您对本次项目修建的公厕使用效果是否满意</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根据调查问卷结果显示，81.90%的受访者</w:t>
      </w:r>
      <w:r>
        <w:rPr>
          <w:rFonts w:hint="eastAsia" w:ascii="仿宋" w:hAnsi="仿宋"/>
          <w:bCs/>
          <w:sz w:val="28"/>
          <w:szCs w:val="21"/>
        </w:rPr>
        <w:t>对本次项目修建的公厕使用效果</w:t>
      </w:r>
      <w:r>
        <w:rPr>
          <w:rFonts w:hint="eastAsia" w:ascii="仿宋" w:hAnsi="仿宋"/>
          <w:sz w:val="28"/>
          <w:szCs w:val="28"/>
        </w:rPr>
        <w:t>非常满意，10.86%的受访者</w:t>
      </w:r>
      <w:r>
        <w:rPr>
          <w:rFonts w:hint="eastAsia" w:ascii="仿宋" w:hAnsi="仿宋"/>
          <w:bCs/>
          <w:sz w:val="28"/>
          <w:szCs w:val="21"/>
        </w:rPr>
        <w:t>对本次项目修建的公厕使用效果</w:t>
      </w:r>
      <w:r>
        <w:rPr>
          <w:rFonts w:hint="eastAsia" w:ascii="仿宋" w:hAnsi="仿宋"/>
          <w:sz w:val="28"/>
          <w:szCs w:val="28"/>
        </w:rPr>
        <w:t>较为满意，7.24%的受访者对</w:t>
      </w:r>
      <w:r>
        <w:rPr>
          <w:rFonts w:hint="eastAsia" w:ascii="仿宋" w:hAnsi="仿宋"/>
          <w:bCs/>
          <w:sz w:val="28"/>
          <w:szCs w:val="21"/>
        </w:rPr>
        <w:t>本次项目修建的公厕使用效果满意度</w:t>
      </w:r>
      <w:r>
        <w:rPr>
          <w:rFonts w:hint="eastAsia" w:ascii="仿宋" w:hAnsi="仿宋"/>
          <w:sz w:val="28"/>
          <w:szCs w:val="28"/>
        </w:rPr>
        <w:t>一般。分析得出，受访者对</w:t>
      </w:r>
      <w:r>
        <w:rPr>
          <w:rFonts w:hint="eastAsia" w:ascii="仿宋" w:hAnsi="仿宋"/>
          <w:bCs/>
          <w:sz w:val="28"/>
          <w:szCs w:val="21"/>
        </w:rPr>
        <w:t>本次项目修建的公厕使用效果</w:t>
      </w:r>
      <w:r>
        <w:rPr>
          <w:rFonts w:hint="eastAsia" w:ascii="仿宋" w:hAnsi="仿宋"/>
          <w:sz w:val="28"/>
          <w:szCs w:val="28"/>
        </w:rPr>
        <w:t>非常满意。</w:t>
      </w:r>
    </w:p>
    <w:p>
      <w:pPr>
        <w:pStyle w:val="19"/>
        <w:spacing w:line="560" w:lineRule="exact"/>
        <w:ind w:firstLine="560"/>
        <w:rPr>
          <w:rFonts w:ascii="仿宋" w:hAnsi="仿宋" w:eastAsia="仿宋"/>
          <w:sz w:val="28"/>
          <w:szCs w:val="28"/>
        </w:rPr>
      </w:pPr>
      <w:r>
        <w:rPr>
          <w:rFonts w:hint="eastAsia" w:ascii="仿宋" w:hAnsi="仿宋" w:eastAsia="仿宋"/>
          <w:kern w:val="0"/>
          <w:sz w:val="28"/>
          <w:szCs w:val="28"/>
        </w:rPr>
        <w:t>（7）</w:t>
      </w:r>
      <w:r>
        <w:rPr>
          <w:rFonts w:hint="eastAsia" w:ascii="仿宋_GB2312" w:eastAsia="仿宋_GB2312"/>
          <w:sz w:val="28"/>
          <w:szCs w:val="28"/>
        </w:rPr>
        <w:t>您对本次项目修建的绿化工程效果是否满意</w:t>
      </w:r>
    </w:p>
    <w:p>
      <w:pPr>
        <w:pStyle w:val="22"/>
        <w:spacing w:afterLines="0" w:line="560" w:lineRule="exact"/>
        <w:ind w:firstLine="560"/>
        <w:rPr>
          <w:rFonts w:ascii="仿宋" w:hAnsi="仿宋"/>
          <w:sz w:val="28"/>
          <w:szCs w:val="28"/>
        </w:rPr>
      </w:pPr>
      <w:r>
        <w:rPr>
          <w:rFonts w:hint="eastAsia" w:ascii="仿宋" w:hAnsi="仿宋"/>
          <w:sz w:val="28"/>
          <w:szCs w:val="28"/>
        </w:rPr>
        <w:t>根据调查问卷结果显示，81%的受访者</w:t>
      </w:r>
      <w:r>
        <w:rPr>
          <w:rFonts w:hint="eastAsia" w:ascii="仿宋" w:hAnsi="仿宋"/>
          <w:bCs/>
          <w:sz w:val="28"/>
          <w:szCs w:val="21"/>
        </w:rPr>
        <w:t>对</w:t>
      </w:r>
      <w:r>
        <w:rPr>
          <w:rFonts w:hint="eastAsia" w:ascii="仿宋_GB2312" w:eastAsia="仿宋_GB2312"/>
          <w:sz w:val="28"/>
          <w:szCs w:val="28"/>
        </w:rPr>
        <w:t>本次项目修建的绿化工程效果</w:t>
      </w:r>
      <w:r>
        <w:rPr>
          <w:rFonts w:hint="eastAsia" w:ascii="仿宋" w:hAnsi="仿宋"/>
          <w:sz w:val="28"/>
          <w:szCs w:val="28"/>
        </w:rPr>
        <w:t>非常满意，9.50%的受访者</w:t>
      </w:r>
      <w:r>
        <w:rPr>
          <w:rFonts w:hint="eastAsia" w:ascii="仿宋" w:hAnsi="仿宋"/>
          <w:bCs/>
          <w:sz w:val="28"/>
          <w:szCs w:val="21"/>
        </w:rPr>
        <w:t>对</w:t>
      </w:r>
      <w:r>
        <w:rPr>
          <w:rFonts w:hint="eastAsia" w:ascii="仿宋_GB2312" w:eastAsia="仿宋_GB2312"/>
          <w:sz w:val="28"/>
          <w:szCs w:val="28"/>
        </w:rPr>
        <w:t>本次项目修建的绿化工程效果</w:t>
      </w:r>
      <w:r>
        <w:rPr>
          <w:rFonts w:hint="eastAsia" w:ascii="仿宋" w:hAnsi="仿宋"/>
          <w:sz w:val="28"/>
          <w:szCs w:val="28"/>
        </w:rPr>
        <w:t>较为满意，8.14%的受访者对</w:t>
      </w:r>
      <w:r>
        <w:rPr>
          <w:rFonts w:hint="eastAsia" w:ascii="仿宋_GB2312" w:eastAsia="仿宋_GB2312"/>
          <w:sz w:val="28"/>
          <w:szCs w:val="28"/>
        </w:rPr>
        <w:t>本次项目修建的绿化工程效果</w:t>
      </w:r>
      <w:r>
        <w:rPr>
          <w:rFonts w:hint="eastAsia" w:ascii="仿宋" w:hAnsi="仿宋"/>
          <w:bCs/>
          <w:sz w:val="28"/>
          <w:szCs w:val="21"/>
        </w:rPr>
        <w:t>满意度</w:t>
      </w:r>
      <w:r>
        <w:rPr>
          <w:rFonts w:hint="eastAsia" w:ascii="仿宋" w:hAnsi="仿宋"/>
          <w:sz w:val="28"/>
          <w:szCs w:val="28"/>
        </w:rPr>
        <w:t>一般，1.36%的受访者</w:t>
      </w:r>
      <w:r>
        <w:rPr>
          <w:rFonts w:hint="eastAsia" w:ascii="仿宋" w:hAnsi="仿宋"/>
          <w:bCs/>
          <w:sz w:val="28"/>
          <w:szCs w:val="21"/>
        </w:rPr>
        <w:t>对</w:t>
      </w:r>
      <w:r>
        <w:rPr>
          <w:rFonts w:hint="eastAsia" w:ascii="仿宋_GB2312" w:eastAsia="仿宋_GB2312"/>
          <w:sz w:val="28"/>
          <w:szCs w:val="28"/>
        </w:rPr>
        <w:t>本次项目修建的绿化工程效果</w:t>
      </w:r>
      <w:r>
        <w:rPr>
          <w:rFonts w:hint="eastAsia" w:ascii="仿宋" w:hAnsi="仿宋"/>
          <w:sz w:val="28"/>
          <w:szCs w:val="28"/>
        </w:rPr>
        <w:t>不满意。分析得出，受访者对</w:t>
      </w:r>
      <w:r>
        <w:rPr>
          <w:rFonts w:hint="eastAsia" w:ascii="仿宋_GB2312" w:eastAsia="仿宋_GB2312"/>
          <w:sz w:val="28"/>
          <w:szCs w:val="28"/>
        </w:rPr>
        <w:t>本次项目修建的绿化工程效果</w:t>
      </w:r>
      <w:r>
        <w:rPr>
          <w:rFonts w:hint="eastAsia" w:ascii="仿宋" w:hAnsi="仿宋"/>
          <w:sz w:val="28"/>
          <w:szCs w:val="28"/>
        </w:rPr>
        <w:t>非常满意。</w:t>
      </w:r>
    </w:p>
    <w:p>
      <w:pPr>
        <w:pStyle w:val="22"/>
        <w:spacing w:afterLines="0" w:line="560" w:lineRule="exact"/>
        <w:ind w:firstLine="560"/>
        <w:rPr>
          <w:rFonts w:ascii="仿宋" w:hAnsi="仿宋"/>
          <w:sz w:val="28"/>
          <w:szCs w:val="28"/>
        </w:rPr>
      </w:pPr>
      <w:r>
        <w:rPr>
          <w:rFonts w:hint="eastAsia" w:ascii="仿宋" w:hAnsi="仿宋"/>
          <w:sz w:val="28"/>
          <w:szCs w:val="28"/>
        </w:rPr>
        <w:t>3、满意度分析</w:t>
      </w:r>
    </w:p>
    <w:p>
      <w:pPr>
        <w:pStyle w:val="22"/>
        <w:spacing w:afterLines="0" w:line="560" w:lineRule="exact"/>
        <w:ind w:firstLine="560"/>
        <w:rPr>
          <w:rFonts w:ascii="仿宋" w:hAnsi="仿宋"/>
          <w:sz w:val="28"/>
          <w:szCs w:val="28"/>
        </w:rPr>
      </w:pPr>
      <w:r>
        <w:rPr>
          <w:rFonts w:hint="eastAsia" w:ascii="仿宋" w:hAnsi="仿宋"/>
          <w:sz w:val="28"/>
          <w:szCs w:val="28"/>
        </w:rPr>
        <w:t>本次发放调查问卷221份，收回有效问卷221份，综合得分为93.36分，具体满意度分项得分见附表。</w:t>
      </w:r>
    </w:p>
    <w:p>
      <w:pPr>
        <w:spacing w:line="500" w:lineRule="exact"/>
        <w:ind w:firstLine="641"/>
        <w:jc w:val="center"/>
        <w:outlineLvl w:val="0"/>
        <w:rPr>
          <w:rFonts w:ascii="仿宋" w:hAnsi="仿宋" w:eastAsia="仿宋"/>
          <w:b/>
          <w:sz w:val="24"/>
          <w:szCs w:val="24"/>
        </w:rPr>
      </w:pPr>
      <w:bookmarkStart w:id="82" w:name="_Toc11635"/>
      <w:bookmarkStart w:id="83" w:name="_Toc26492"/>
      <w:bookmarkStart w:id="84" w:name="_Toc1183"/>
      <w:r>
        <w:rPr>
          <w:rFonts w:hint="eastAsia" w:ascii="仿宋" w:hAnsi="仿宋" w:eastAsia="仿宋"/>
          <w:b/>
          <w:sz w:val="24"/>
          <w:szCs w:val="24"/>
        </w:rPr>
        <w:t>附表：满意度分项得分情况</w:t>
      </w:r>
      <w:bookmarkEnd w:id="82"/>
      <w:bookmarkEnd w:id="83"/>
      <w:bookmarkEnd w:id="84"/>
    </w:p>
    <w:tbl>
      <w:tblPr>
        <w:tblStyle w:val="11"/>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6"/>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56" w:type="dxa"/>
            <w:vAlign w:val="center"/>
          </w:tcPr>
          <w:p>
            <w:pPr>
              <w:jc w:val="center"/>
              <w:rPr>
                <w:rFonts w:ascii="仿宋" w:hAnsi="仿宋" w:eastAsia="仿宋"/>
                <w:b/>
                <w:kern w:val="0"/>
                <w:szCs w:val="21"/>
              </w:rPr>
            </w:pPr>
            <w:r>
              <w:rPr>
                <w:rFonts w:hint="eastAsia" w:ascii="仿宋" w:hAnsi="仿宋" w:eastAsia="仿宋"/>
                <w:b/>
                <w:kern w:val="0"/>
                <w:szCs w:val="21"/>
              </w:rPr>
              <w:t>满意度评价内容</w:t>
            </w:r>
          </w:p>
        </w:tc>
        <w:tc>
          <w:tcPr>
            <w:tcW w:w="985" w:type="dxa"/>
            <w:vAlign w:val="center"/>
          </w:tcPr>
          <w:p>
            <w:pPr>
              <w:jc w:val="center"/>
              <w:rPr>
                <w:rFonts w:ascii="仿宋" w:hAnsi="仿宋" w:eastAsia="仿宋"/>
                <w:b/>
                <w:kern w:val="0"/>
                <w:szCs w:val="21"/>
              </w:rPr>
            </w:pPr>
            <w:r>
              <w:rPr>
                <w:rFonts w:hint="eastAsia" w:ascii="仿宋" w:hAnsi="仿宋" w:eastAsia="仿宋"/>
                <w:b/>
                <w:kern w:val="0"/>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1.您认为是否有必要实施涑水河滞洪区配套工程（景观工程、绿化工程、道路工程等）</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2.您对景观工程（亲水平台、湖心平台、文化墙、座椅等）使用效果是否满意</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3.您对涑水河周边夜间照明情况是否满意</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4.您对涑水河汉白玉栏杆的安全防护效果是否满意</w:t>
            </w:r>
          </w:p>
        </w:tc>
        <w:tc>
          <w:tcPr>
            <w:tcW w:w="985" w:type="dxa"/>
            <w:vAlign w:val="center"/>
          </w:tcPr>
          <w:p>
            <w:pPr>
              <w:jc w:val="center"/>
              <w:rPr>
                <w:rFonts w:ascii="仿宋" w:hAnsi="仿宋" w:eastAsia="仿宋"/>
                <w:color w:val="000000"/>
                <w:szCs w:val="21"/>
              </w:rPr>
            </w:pPr>
            <w:r>
              <w:rPr>
                <w:rFonts w:hint="eastAsia" w:ascii="仿宋" w:hAnsi="仿宋" w:eastAsia="仿宋"/>
                <w:color w:val="000000"/>
                <w:szCs w:val="21"/>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5.您对本次项目铺设的道路质量是否满意</w:t>
            </w:r>
          </w:p>
        </w:tc>
        <w:tc>
          <w:tcPr>
            <w:tcW w:w="985" w:type="dxa"/>
            <w:vAlign w:val="center"/>
          </w:tcPr>
          <w:p>
            <w:pPr>
              <w:jc w:val="center"/>
              <w:rPr>
                <w:rFonts w:ascii="仿宋" w:hAnsi="仿宋" w:eastAsia="仿宋"/>
                <w:kern w:val="0"/>
                <w:szCs w:val="21"/>
              </w:rPr>
            </w:pPr>
            <w:r>
              <w:rPr>
                <w:rFonts w:hint="eastAsia" w:ascii="仿宋" w:hAnsi="仿宋" w:eastAsia="仿宋"/>
                <w:kern w:val="0"/>
                <w:szCs w:val="21"/>
              </w:rPr>
              <w:t>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6.您对本次项目修建的公厕使用效果是否满意</w:t>
            </w:r>
          </w:p>
        </w:tc>
        <w:tc>
          <w:tcPr>
            <w:tcW w:w="985" w:type="dxa"/>
            <w:vAlign w:val="center"/>
          </w:tcPr>
          <w:p>
            <w:pPr>
              <w:jc w:val="center"/>
              <w:rPr>
                <w:rFonts w:ascii="仿宋" w:hAnsi="仿宋" w:eastAsia="仿宋"/>
                <w:kern w:val="0"/>
                <w:szCs w:val="21"/>
              </w:rPr>
            </w:pPr>
            <w:r>
              <w:rPr>
                <w:rFonts w:hint="eastAsia" w:ascii="仿宋" w:hAnsi="仿宋" w:eastAsia="仿宋"/>
                <w:kern w:val="0"/>
                <w:szCs w:val="21"/>
              </w:rPr>
              <w:t>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rPr>
                <w:rFonts w:ascii="仿宋" w:hAnsi="仿宋" w:eastAsia="仿宋"/>
                <w:kern w:val="0"/>
                <w:szCs w:val="21"/>
              </w:rPr>
            </w:pPr>
            <w:r>
              <w:rPr>
                <w:rFonts w:hint="eastAsia" w:ascii="仿宋" w:hAnsi="仿宋" w:eastAsia="仿宋"/>
                <w:kern w:val="0"/>
                <w:szCs w:val="21"/>
              </w:rPr>
              <w:t>7.您对本次项目修建的绿化工程效果是否满意</w:t>
            </w:r>
          </w:p>
        </w:tc>
        <w:tc>
          <w:tcPr>
            <w:tcW w:w="985" w:type="dxa"/>
            <w:vAlign w:val="center"/>
          </w:tcPr>
          <w:p>
            <w:pPr>
              <w:jc w:val="center"/>
              <w:rPr>
                <w:rFonts w:ascii="仿宋" w:hAnsi="仿宋" w:eastAsia="仿宋"/>
                <w:kern w:val="0"/>
                <w:szCs w:val="21"/>
              </w:rPr>
            </w:pPr>
            <w:r>
              <w:rPr>
                <w:rFonts w:hint="eastAsia" w:ascii="仿宋" w:hAnsi="仿宋" w:eastAsia="仿宋"/>
                <w:kern w:val="0"/>
                <w:szCs w:val="21"/>
              </w:rPr>
              <w:t>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6" w:type="dxa"/>
            <w:vAlign w:val="center"/>
          </w:tcPr>
          <w:p>
            <w:pPr>
              <w:jc w:val="center"/>
              <w:rPr>
                <w:rFonts w:ascii="仿宋" w:hAnsi="仿宋" w:eastAsia="仿宋"/>
                <w:b/>
                <w:kern w:val="0"/>
                <w:szCs w:val="21"/>
              </w:rPr>
            </w:pPr>
            <w:r>
              <w:rPr>
                <w:rFonts w:hint="eastAsia" w:ascii="仿宋" w:hAnsi="仿宋" w:eastAsia="仿宋"/>
                <w:b/>
                <w:kern w:val="0"/>
                <w:szCs w:val="21"/>
              </w:rPr>
              <w:t>综合满意度</w:t>
            </w:r>
          </w:p>
        </w:tc>
        <w:tc>
          <w:tcPr>
            <w:tcW w:w="985" w:type="dxa"/>
            <w:vAlign w:val="center"/>
          </w:tcPr>
          <w:p>
            <w:pPr>
              <w:jc w:val="center"/>
              <w:rPr>
                <w:rFonts w:ascii="仿宋" w:hAnsi="仿宋" w:eastAsia="仿宋"/>
                <w:b/>
                <w:kern w:val="0"/>
                <w:szCs w:val="21"/>
              </w:rPr>
            </w:pPr>
            <w:r>
              <w:rPr>
                <w:rFonts w:hint="eastAsia" w:ascii="仿宋" w:hAnsi="仿宋" w:eastAsia="仿宋"/>
                <w:b/>
                <w:kern w:val="0"/>
                <w:szCs w:val="21"/>
              </w:rPr>
              <w:t>93.36%</w:t>
            </w:r>
          </w:p>
        </w:tc>
      </w:tr>
    </w:tbl>
    <w:p>
      <w:pPr>
        <w:pStyle w:val="3"/>
        <w:spacing w:before="0" w:after="0" w:line="240" w:lineRule="auto"/>
        <w:rPr>
          <w:rFonts w:eastAsia="仿宋"/>
          <w:sz w:val="28"/>
        </w:rPr>
        <w:sectPr>
          <w:pgSz w:w="11906" w:h="16838"/>
          <w:pgMar w:top="1440" w:right="1800" w:bottom="1440" w:left="1800" w:header="851" w:footer="992" w:gutter="0"/>
          <w:cols w:space="425" w:num="1"/>
          <w:docGrid w:type="lines" w:linePitch="312" w:charSpace="0"/>
        </w:sectPr>
      </w:pPr>
    </w:p>
    <w:p>
      <w:pPr>
        <w:pStyle w:val="2"/>
        <w:spacing w:line="560" w:lineRule="exact"/>
        <w:jc w:val="left"/>
        <w:rPr>
          <w:rStyle w:val="15"/>
          <w:rFonts w:ascii="Times New Roman" w:hAnsi="Times New Roman"/>
          <w:b w:val="0"/>
          <w:bCs w:val="0"/>
        </w:rPr>
      </w:pPr>
      <w:bookmarkStart w:id="85" w:name="_Toc24718"/>
      <w:bookmarkStart w:id="86" w:name="_Toc10559"/>
      <w:r>
        <w:rPr>
          <w:rFonts w:hint="eastAsia" w:ascii="仿宋" w:hAnsi="仿宋" w:eastAsia="仿宋"/>
          <w:sz w:val="28"/>
          <w:szCs w:val="28"/>
        </w:rPr>
        <w:t>附件3：              实地调研照片</w:t>
      </w:r>
      <w:bookmarkEnd w:id="85"/>
      <w:bookmarkEnd w:id="86"/>
    </w:p>
    <w:p>
      <w:pPr>
        <w:spacing w:line="560" w:lineRule="exact"/>
        <w:rPr>
          <w:rFonts w:ascii="仿宋" w:hAnsi="仿宋" w:eastAsia="仿宋"/>
          <w:b/>
          <w:bCs/>
          <w:sz w:val="28"/>
          <w:szCs w:val="28"/>
        </w:rPr>
      </w:pPr>
      <w:r>
        <w:rPr>
          <w:rFonts w:hint="eastAsia" w:ascii="仿宋" w:hAnsi="仿宋" w:eastAsia="仿宋"/>
          <w:b/>
          <w:bCs/>
          <w:sz w:val="28"/>
          <w:szCs w:val="28"/>
        </w:rPr>
        <w:t>原汉白玉栏杆基座</w:t>
      </w:r>
    </w:p>
    <w:p>
      <w:pPr>
        <w:jc w:val="center"/>
      </w:pPr>
      <w:r>
        <w:drawing>
          <wp:inline distT="0" distB="0" distL="114300" distR="114300">
            <wp:extent cx="5001260" cy="3751580"/>
            <wp:effectExtent l="0" t="0" r="12700" b="12700"/>
            <wp:docPr id="18" name="图片 18" descr="IMG_20210909_1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10909_101911"/>
                    <pic:cNvPicPr>
                      <a:picLocks noChangeAspect="1"/>
                    </pic:cNvPicPr>
                  </pic:nvPicPr>
                  <pic:blipFill>
                    <a:blip r:embed="rId7"/>
                    <a:stretch>
                      <a:fillRect/>
                    </a:stretch>
                  </pic:blipFill>
                  <pic:spPr>
                    <a:xfrm>
                      <a:off x="0" y="0"/>
                      <a:ext cx="5001260" cy="3751580"/>
                    </a:xfrm>
                    <a:prstGeom prst="rect">
                      <a:avLst/>
                    </a:prstGeom>
                  </pic:spPr>
                </pic:pic>
              </a:graphicData>
            </a:graphic>
          </wp:inline>
        </w:drawing>
      </w:r>
    </w:p>
    <w:p>
      <w:pPr>
        <w:spacing w:line="560" w:lineRule="exact"/>
        <w:rPr>
          <w:rFonts w:ascii="仿宋" w:hAnsi="仿宋" w:eastAsia="仿宋"/>
          <w:b/>
          <w:bCs/>
          <w:sz w:val="28"/>
          <w:szCs w:val="28"/>
        </w:rPr>
      </w:pPr>
      <w:r>
        <w:rPr>
          <w:rFonts w:hint="eastAsia" w:ascii="仿宋" w:hAnsi="仿宋" w:eastAsia="仿宋"/>
          <w:b/>
          <w:bCs/>
          <w:sz w:val="28"/>
          <w:szCs w:val="28"/>
        </w:rPr>
        <w:t>湖心亭</w:t>
      </w:r>
    </w:p>
    <w:p>
      <w:pPr>
        <w:pStyle w:val="2"/>
        <w:jc w:val="center"/>
      </w:pPr>
      <w:r>
        <w:drawing>
          <wp:inline distT="0" distB="0" distL="114300" distR="114300">
            <wp:extent cx="4989830" cy="3742690"/>
            <wp:effectExtent l="0" t="0" r="8890" b="6350"/>
            <wp:docPr id="23" name="图片 23" descr="IMG_20210909_10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10909_103307"/>
                    <pic:cNvPicPr>
                      <a:picLocks noChangeAspect="1"/>
                    </pic:cNvPicPr>
                  </pic:nvPicPr>
                  <pic:blipFill>
                    <a:blip r:embed="rId8"/>
                    <a:stretch>
                      <a:fillRect/>
                    </a:stretch>
                  </pic:blipFill>
                  <pic:spPr>
                    <a:xfrm>
                      <a:off x="0" y="0"/>
                      <a:ext cx="4989830" cy="3742690"/>
                    </a:xfrm>
                    <a:prstGeom prst="rect">
                      <a:avLst/>
                    </a:prstGeom>
                  </pic:spPr>
                </pic:pic>
              </a:graphicData>
            </a:graphic>
          </wp:inline>
        </w:drawing>
      </w:r>
    </w:p>
    <w:p/>
    <w:p>
      <w:pPr>
        <w:pStyle w:val="2"/>
        <w:jc w:val="left"/>
        <w:rPr>
          <w:rFonts w:ascii="仿宋" w:hAnsi="仿宋" w:eastAsia="仿宋"/>
          <w:sz w:val="28"/>
          <w:szCs w:val="28"/>
        </w:rPr>
      </w:pPr>
      <w:r>
        <w:rPr>
          <w:rFonts w:hint="eastAsia" w:ascii="仿宋" w:hAnsi="仿宋" w:eastAsia="仿宋"/>
          <w:sz w:val="28"/>
          <w:szCs w:val="28"/>
        </w:rPr>
        <w:t>绿化带、文化墙</w:t>
      </w:r>
    </w:p>
    <w:p>
      <w:pPr>
        <w:pStyle w:val="2"/>
        <w:jc w:val="left"/>
      </w:pPr>
      <w:r>
        <w:drawing>
          <wp:inline distT="0" distB="0" distL="114300" distR="114300">
            <wp:extent cx="5232400" cy="3924300"/>
            <wp:effectExtent l="0" t="0" r="10160" b="7620"/>
            <wp:docPr id="26" name="图片 26" descr="IMG_20210909_1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10909_103420"/>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p>
    <w:p>
      <w:pPr>
        <w:jc w:val="left"/>
      </w:pPr>
      <w:r>
        <w:rPr>
          <w:rFonts w:hint="eastAsia" w:ascii="仿宋" w:hAnsi="仿宋" w:eastAsia="仿宋"/>
          <w:b/>
          <w:bCs/>
          <w:sz w:val="28"/>
          <w:szCs w:val="28"/>
        </w:rPr>
        <w:t>单臂花架、多头太阳能路灯</w:t>
      </w:r>
      <w:r>
        <w:drawing>
          <wp:inline distT="0" distB="0" distL="114300" distR="114300">
            <wp:extent cx="5232400" cy="3924300"/>
            <wp:effectExtent l="0" t="0" r="10160" b="7620"/>
            <wp:docPr id="46" name="图片 46" descr="IMG_20210909_10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10909_103702"/>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pPr>
        <w:jc w:val="left"/>
      </w:pPr>
      <w:r>
        <w:rPr>
          <w:rFonts w:hint="eastAsia" w:ascii="仿宋" w:hAnsi="仿宋" w:eastAsia="仿宋"/>
          <w:b/>
          <w:bCs/>
          <w:sz w:val="28"/>
          <w:szCs w:val="28"/>
        </w:rPr>
        <w:t>管理用房</w:t>
      </w:r>
      <w:r>
        <w:drawing>
          <wp:inline distT="0" distB="0" distL="114300" distR="114300">
            <wp:extent cx="5232400" cy="3924300"/>
            <wp:effectExtent l="0" t="0" r="10160" b="7620"/>
            <wp:docPr id="1" name="图片 1" descr="IMG_20210909_10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0909_103119"/>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p>
    <w:p>
      <w:pPr>
        <w:jc w:val="left"/>
      </w:pPr>
      <w:r>
        <w:rPr>
          <w:rFonts w:hint="eastAsia" w:ascii="仿宋" w:hAnsi="仿宋" w:eastAsia="仿宋"/>
          <w:b/>
          <w:bCs/>
          <w:sz w:val="28"/>
          <w:szCs w:val="28"/>
        </w:rPr>
        <w:t>长廊、庭院灯、木廊架</w:t>
      </w:r>
      <w:r>
        <w:drawing>
          <wp:inline distT="0" distB="0" distL="114300" distR="114300">
            <wp:extent cx="5232400" cy="3924300"/>
            <wp:effectExtent l="0" t="0" r="10160" b="7620"/>
            <wp:docPr id="32" name="图片 32" descr="IMG_20210909_10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10909_103822"/>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p>
    <w:p>
      <w:pPr>
        <w:jc w:val="left"/>
      </w:pPr>
      <w:r>
        <w:rPr>
          <w:rFonts w:hint="eastAsia" w:ascii="仿宋" w:hAnsi="仿宋" w:eastAsia="仿宋"/>
          <w:b/>
          <w:bCs/>
          <w:sz w:val="28"/>
          <w:szCs w:val="28"/>
        </w:rPr>
        <w:t>汉白玉栏杆</w:t>
      </w:r>
      <w:r>
        <w:drawing>
          <wp:inline distT="0" distB="0" distL="114300" distR="114300">
            <wp:extent cx="5266690" cy="3785870"/>
            <wp:effectExtent l="0" t="0" r="6350" b="8890"/>
            <wp:docPr id="14" name="图片 14" descr="扫描全能王CamScanner 2021-09-09 10.25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CamScanner 2021-09-09 10.25_42"/>
                    <pic:cNvPicPr>
                      <a:picLocks noChangeAspect="1"/>
                    </pic:cNvPicPr>
                  </pic:nvPicPr>
                  <pic:blipFill>
                    <a:blip r:embed="rId13"/>
                    <a:stretch>
                      <a:fillRect/>
                    </a:stretch>
                  </pic:blipFill>
                  <pic:spPr>
                    <a:xfrm>
                      <a:off x="0" y="0"/>
                      <a:ext cx="5266690" cy="3785870"/>
                    </a:xfrm>
                    <a:prstGeom prst="rect">
                      <a:avLst/>
                    </a:prstGeom>
                  </pic:spPr>
                </pic:pic>
              </a:graphicData>
            </a:graphic>
          </wp:inline>
        </w:drawing>
      </w:r>
    </w:p>
    <w:p>
      <w:pPr>
        <w:jc w:val="left"/>
      </w:pPr>
      <w:r>
        <w:drawing>
          <wp:inline distT="0" distB="0" distL="114300" distR="114300">
            <wp:extent cx="5232400" cy="3924300"/>
            <wp:effectExtent l="0" t="0" r="10160" b="7620"/>
            <wp:docPr id="3" name="图片 3" descr="IMG_20210909_10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10909_105927"/>
                    <pic:cNvPicPr>
                      <a:picLocks noChangeAspect="1"/>
                    </pic:cNvPicPr>
                  </pic:nvPicPr>
                  <pic:blipFill>
                    <a:blip r:embed="rId14"/>
                    <a:stretch>
                      <a:fillRect/>
                    </a:stretch>
                  </pic:blipFill>
                  <pic:spPr>
                    <a:xfrm>
                      <a:off x="0" y="0"/>
                      <a:ext cx="5232400" cy="3924300"/>
                    </a:xfrm>
                    <a:prstGeom prst="rect">
                      <a:avLst/>
                    </a:prstGeom>
                  </pic:spPr>
                </pic:pic>
              </a:graphicData>
            </a:graphic>
          </wp:inline>
        </w:drawing>
      </w:r>
    </w:p>
    <w:p>
      <w:pPr>
        <w:jc w:val="left"/>
        <w:rPr>
          <w:rFonts w:ascii="仿宋" w:hAnsi="仿宋" w:eastAsia="仿宋"/>
          <w:b/>
          <w:bCs/>
          <w:sz w:val="28"/>
          <w:szCs w:val="28"/>
        </w:rPr>
      </w:pPr>
    </w:p>
    <w:p>
      <w:pPr>
        <w:jc w:val="left"/>
      </w:pPr>
      <w:r>
        <w:rPr>
          <w:rFonts w:hint="eastAsia" w:ascii="仿宋" w:hAnsi="仿宋" w:eastAsia="仿宋"/>
          <w:b/>
          <w:bCs/>
          <w:sz w:val="28"/>
          <w:szCs w:val="28"/>
        </w:rPr>
        <w:t>固定卫生间</w:t>
      </w:r>
      <w:r>
        <w:drawing>
          <wp:inline distT="0" distB="0" distL="114300" distR="114300">
            <wp:extent cx="5232400" cy="3924300"/>
            <wp:effectExtent l="0" t="0" r="10160" b="7620"/>
            <wp:docPr id="34" name="图片 34" descr="IMG_20210909_1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10909_104154"/>
                    <pic:cNvPicPr>
                      <a:picLocks noChangeAspect="1"/>
                    </pic:cNvPicPr>
                  </pic:nvPicPr>
                  <pic:blipFill>
                    <a:blip r:embed="rId15"/>
                    <a:stretch>
                      <a:fillRect/>
                    </a:stretch>
                  </pic:blipFill>
                  <pic:spPr>
                    <a:xfrm>
                      <a:off x="0" y="0"/>
                      <a:ext cx="5232400" cy="3924300"/>
                    </a:xfrm>
                    <a:prstGeom prst="rect">
                      <a:avLst/>
                    </a:prstGeom>
                  </pic:spPr>
                </pic:pic>
              </a:graphicData>
            </a:graphic>
          </wp:inline>
        </w:drawing>
      </w:r>
    </w:p>
    <w:p>
      <w:pPr>
        <w:jc w:val="left"/>
      </w:pPr>
      <w:r>
        <w:rPr>
          <w:rFonts w:hint="eastAsia" w:ascii="仿宋" w:hAnsi="仿宋" w:eastAsia="仿宋"/>
          <w:b/>
          <w:bCs/>
          <w:sz w:val="28"/>
          <w:szCs w:val="28"/>
        </w:rPr>
        <w:t>湖心亭观景台</w:t>
      </w:r>
      <w:r>
        <w:drawing>
          <wp:inline distT="0" distB="0" distL="114300" distR="114300">
            <wp:extent cx="5250180" cy="3940175"/>
            <wp:effectExtent l="0" t="0" r="7620" b="6985"/>
            <wp:docPr id="7" name="图片 7" descr="扫描全能王CamScanner 2021-09-09 10.25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CamScanner 2021-09-09 10.25_40"/>
                    <pic:cNvPicPr>
                      <a:picLocks noChangeAspect="1"/>
                    </pic:cNvPicPr>
                  </pic:nvPicPr>
                  <pic:blipFill>
                    <a:blip r:embed="rId16"/>
                    <a:stretch>
                      <a:fillRect/>
                    </a:stretch>
                  </pic:blipFill>
                  <pic:spPr>
                    <a:xfrm>
                      <a:off x="0" y="0"/>
                      <a:ext cx="5250180" cy="3940175"/>
                    </a:xfrm>
                    <a:prstGeom prst="rect">
                      <a:avLst/>
                    </a:prstGeom>
                  </pic:spPr>
                </pic:pic>
              </a:graphicData>
            </a:graphic>
          </wp:inline>
        </w:drawing>
      </w:r>
    </w:p>
    <w:p>
      <w:pPr>
        <w:jc w:val="left"/>
        <w:rPr>
          <w:rFonts w:ascii="仿宋" w:hAnsi="仿宋" w:eastAsia="仿宋"/>
          <w:b/>
          <w:bCs/>
          <w:sz w:val="28"/>
          <w:szCs w:val="28"/>
        </w:rPr>
      </w:pPr>
      <w:r>
        <w:rPr>
          <w:rFonts w:hint="eastAsia" w:ascii="仿宋" w:hAnsi="仿宋" w:eastAsia="仿宋"/>
          <w:b/>
          <w:bCs/>
          <w:sz w:val="28"/>
          <w:szCs w:val="28"/>
        </w:rPr>
        <w:t>出水口、入水口</w:t>
      </w:r>
    </w:p>
    <w:p>
      <w:pPr>
        <w:jc w:val="left"/>
      </w:pPr>
      <w:r>
        <w:drawing>
          <wp:inline distT="0" distB="0" distL="114300" distR="114300">
            <wp:extent cx="5232400" cy="3924300"/>
            <wp:effectExtent l="0" t="0" r="10160" b="7620"/>
            <wp:docPr id="41" name="图片 41" descr="IMG_20210909_11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10909_111937"/>
                    <pic:cNvPicPr>
                      <a:picLocks noChangeAspect="1"/>
                    </pic:cNvPicPr>
                  </pic:nvPicPr>
                  <pic:blipFill>
                    <a:blip r:embed="rId17"/>
                    <a:stretch>
                      <a:fillRect/>
                    </a:stretch>
                  </pic:blipFill>
                  <pic:spPr>
                    <a:xfrm>
                      <a:off x="0" y="0"/>
                      <a:ext cx="5232400" cy="3924300"/>
                    </a:xfrm>
                    <a:prstGeom prst="rect">
                      <a:avLst/>
                    </a:prstGeom>
                  </pic:spPr>
                </pic:pic>
              </a:graphicData>
            </a:graphic>
          </wp:inline>
        </w:drawing>
      </w:r>
      <w:r>
        <w:drawing>
          <wp:inline distT="0" distB="0" distL="114300" distR="114300">
            <wp:extent cx="5232400" cy="3924300"/>
            <wp:effectExtent l="0" t="0" r="10160" b="7620"/>
            <wp:docPr id="38" name="图片 38" descr="IMG_20210909_10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10909_104431"/>
                    <pic:cNvPicPr>
                      <a:picLocks noChangeAspect="1"/>
                    </pic:cNvPicPr>
                  </pic:nvPicPr>
                  <pic:blipFill>
                    <a:blip r:embed="rId18"/>
                    <a:stretch>
                      <a:fillRect/>
                    </a:stretch>
                  </pic:blipFill>
                  <pic:spPr>
                    <a:xfrm>
                      <a:off x="0" y="0"/>
                      <a:ext cx="5232400" cy="3924300"/>
                    </a:xfrm>
                    <a:prstGeom prst="rect">
                      <a:avLst/>
                    </a:prstGeom>
                  </pic:spPr>
                </pic:pic>
              </a:graphicData>
            </a:graphic>
          </wp:inline>
        </w:drawing>
      </w:r>
    </w:p>
    <w:p>
      <w:pPr>
        <w:jc w:val="center"/>
      </w:pPr>
    </w:p>
    <w:p>
      <w:pPr>
        <w:jc w:val="left"/>
        <w:rPr>
          <w:rFonts w:ascii="仿宋" w:hAnsi="仿宋" w:eastAsia="仿宋"/>
          <w:b/>
          <w:bCs/>
          <w:sz w:val="28"/>
          <w:szCs w:val="28"/>
        </w:rPr>
      </w:pPr>
    </w:p>
    <w:p>
      <w:pPr>
        <w:jc w:val="left"/>
      </w:pPr>
      <w:r>
        <w:rPr>
          <w:rFonts w:hint="eastAsia" w:ascii="仿宋" w:hAnsi="仿宋" w:eastAsia="仿宋"/>
          <w:b/>
          <w:bCs/>
          <w:sz w:val="28"/>
          <w:szCs w:val="28"/>
        </w:rPr>
        <w:t>道路工程</w:t>
      </w:r>
      <w:r>
        <w:drawing>
          <wp:inline distT="0" distB="0" distL="114300" distR="114300">
            <wp:extent cx="5252085" cy="2940685"/>
            <wp:effectExtent l="0" t="0" r="5715" b="635"/>
            <wp:docPr id="16" name="图片 16" descr="现场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现场2_7"/>
                    <pic:cNvPicPr>
                      <a:picLocks noChangeAspect="1"/>
                    </pic:cNvPicPr>
                  </pic:nvPicPr>
                  <pic:blipFill>
                    <a:blip r:embed="rId19"/>
                    <a:stretch>
                      <a:fillRect/>
                    </a:stretch>
                  </pic:blipFill>
                  <pic:spPr>
                    <a:xfrm>
                      <a:off x="0" y="0"/>
                      <a:ext cx="5252085" cy="2940685"/>
                    </a:xfrm>
                    <a:prstGeom prst="rect">
                      <a:avLst/>
                    </a:prstGeom>
                  </pic:spPr>
                </pic:pic>
              </a:graphicData>
            </a:graphic>
          </wp:inline>
        </w:drawing>
      </w:r>
    </w:p>
    <w:p>
      <w:pPr>
        <w:jc w:val="left"/>
        <w:rPr>
          <w:rFonts w:ascii="仿宋" w:hAnsi="仿宋" w:eastAsia="仿宋"/>
          <w:b/>
          <w:bCs/>
          <w:sz w:val="28"/>
          <w:szCs w:val="28"/>
        </w:rPr>
      </w:pPr>
      <w:r>
        <w:rPr>
          <w:rFonts w:hint="eastAsia" w:ascii="仿宋" w:hAnsi="仿宋" w:eastAsia="仿宋"/>
          <w:b/>
          <w:bCs/>
          <w:sz w:val="28"/>
          <w:szCs w:val="28"/>
        </w:rPr>
        <w:t>卫生间门窗</w:t>
      </w:r>
    </w:p>
    <w:p>
      <w:pPr>
        <w:jc w:val="center"/>
      </w:pPr>
    </w:p>
    <w:p>
      <w:pPr>
        <w:jc w:val="left"/>
      </w:pPr>
    </w:p>
    <w:p>
      <w:pPr>
        <w:jc w:val="left"/>
      </w:pPr>
    </w:p>
    <w:p>
      <w:pPr>
        <w:jc w:val="left"/>
      </w:pPr>
      <w:r>
        <w:rPr>
          <w:rFonts w:hint="eastAsia"/>
        </w:rPr>
        <w:drawing>
          <wp:inline distT="0" distB="0" distL="114300" distR="114300">
            <wp:extent cx="4681855" cy="3511550"/>
            <wp:effectExtent l="0" t="0" r="8890" b="12065"/>
            <wp:docPr id="12" name="图片 12" descr="IMG_20210909_10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10909_104245"/>
                    <pic:cNvPicPr>
                      <a:picLocks noChangeAspect="1"/>
                    </pic:cNvPicPr>
                  </pic:nvPicPr>
                  <pic:blipFill>
                    <a:blip r:embed="rId20"/>
                    <a:stretch>
                      <a:fillRect/>
                    </a:stretch>
                  </pic:blipFill>
                  <pic:spPr>
                    <a:xfrm rot="5400000">
                      <a:off x="0" y="0"/>
                      <a:ext cx="4681855" cy="3511550"/>
                    </a:xfrm>
                    <a:prstGeom prst="rect">
                      <a:avLst/>
                    </a:prstGeom>
                  </pic:spPr>
                </pic:pic>
              </a:graphicData>
            </a:graphic>
          </wp:inline>
        </w:drawing>
      </w:r>
    </w:p>
    <w:p>
      <w:pPr>
        <w:jc w:val="left"/>
      </w:pPr>
    </w:p>
    <w:p>
      <w:pPr>
        <w:jc w:val="left"/>
      </w:pP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1"/>
        <w:left w:val="none" w:color="auto" w:sz="0" w:space="4"/>
        <w:bottom w:val="none" w:color="auto" w:sz="0" w:space="1"/>
        <w:right w:val="none" w:color="auto" w:sz="0" w:space="4"/>
      </w:pBdr>
    </w:pPr>
    <w:r>
      <w:rPr>
        <w:rFonts w:hint="eastAsia" w:ascii="仿宋" w:hAnsi="仿宋" w:eastAsia="仿宋" w:cs="仿宋"/>
      </w:rPr>
      <w:t>地址：运城经济技术开发区库东路1号尚东SOHO楼1511室            电话：0359-2020283、2068977</w:t>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1"/>
        <w:left w:val="none" w:color="auto" w:sz="0" w:space="4"/>
        <w:bottom w:val="none" w:color="auto" w:sz="0" w:space="1"/>
        <w:right w:val="none" w:color="auto" w:sz="0" w:space="4"/>
      </w:pBdr>
      <w:rPr>
        <w:rFonts w:ascii="仿宋" w:hAnsi="仿宋" w:eastAsia="仿宋" w:cs="仿宋"/>
      </w:rPr>
    </w:pPr>
    <w:r>
      <w:rPr>
        <w:rFonts w:hint="eastAsia" w:ascii="仿宋" w:hAnsi="仿宋" w:eastAsia="仿宋" w:cs="仿宋"/>
      </w:rPr>
      <w:t>地址：运城经济技术开发区库东路1号尚东SOHO楼1511室            电话：0359-2020283、2068977</w:t>
    </w:r>
  </w:p>
  <w:p>
    <w:pPr>
      <w:pStyle w:val="7"/>
    </w:pPr>
    <w:r>
      <w:pict>
        <v:shape id="_x0000_s1029" o:spid="_x0000_s102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7"/>
                </w:pPr>
                <w:r>
                  <w:fldChar w:fldCharType="begin"/>
                </w:r>
                <w:r>
                  <w:instrText xml:space="preserve"> PAGE  \* MERGEFORMAT </w:instrText>
                </w:r>
                <w:r>
                  <w:fldChar w:fldCharType="separate"/>
                </w:r>
                <w:r>
                  <w:t>12</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E5MGRlZGExMmU4MzE3MzYzNTNiZjIwMDQwYjkzODYifQ=="/>
  </w:docVars>
  <w:rsids>
    <w:rsidRoot w:val="006D53A6"/>
    <w:rsid w:val="00043B73"/>
    <w:rsid w:val="00045F8B"/>
    <w:rsid w:val="00061C62"/>
    <w:rsid w:val="000A6B9C"/>
    <w:rsid w:val="00147627"/>
    <w:rsid w:val="001F224E"/>
    <w:rsid w:val="002C066D"/>
    <w:rsid w:val="002C71DA"/>
    <w:rsid w:val="004027E7"/>
    <w:rsid w:val="004D2C92"/>
    <w:rsid w:val="0059671E"/>
    <w:rsid w:val="005A46AA"/>
    <w:rsid w:val="005B6E38"/>
    <w:rsid w:val="005F754D"/>
    <w:rsid w:val="0062160F"/>
    <w:rsid w:val="00660F56"/>
    <w:rsid w:val="006D53A6"/>
    <w:rsid w:val="00724A8B"/>
    <w:rsid w:val="007311DC"/>
    <w:rsid w:val="007826F2"/>
    <w:rsid w:val="007C26AB"/>
    <w:rsid w:val="007C53CB"/>
    <w:rsid w:val="007D0618"/>
    <w:rsid w:val="007E25D1"/>
    <w:rsid w:val="008C0328"/>
    <w:rsid w:val="008F068E"/>
    <w:rsid w:val="00901214"/>
    <w:rsid w:val="0093716A"/>
    <w:rsid w:val="00940802"/>
    <w:rsid w:val="009744F5"/>
    <w:rsid w:val="00A94580"/>
    <w:rsid w:val="00AA0AB6"/>
    <w:rsid w:val="00AF4D72"/>
    <w:rsid w:val="00BD415A"/>
    <w:rsid w:val="00CF1252"/>
    <w:rsid w:val="00D330FC"/>
    <w:rsid w:val="00D33B81"/>
    <w:rsid w:val="00E96EFC"/>
    <w:rsid w:val="00EF7D1C"/>
    <w:rsid w:val="00F07B5F"/>
    <w:rsid w:val="00F13595"/>
    <w:rsid w:val="00F30D0B"/>
    <w:rsid w:val="00F352AF"/>
    <w:rsid w:val="00F445E0"/>
    <w:rsid w:val="00F51491"/>
    <w:rsid w:val="00FD39FC"/>
    <w:rsid w:val="02763CFC"/>
    <w:rsid w:val="02EC697E"/>
    <w:rsid w:val="03B33F46"/>
    <w:rsid w:val="0404407F"/>
    <w:rsid w:val="046934B0"/>
    <w:rsid w:val="04812DEB"/>
    <w:rsid w:val="04BD181F"/>
    <w:rsid w:val="051F6E2B"/>
    <w:rsid w:val="05842C39"/>
    <w:rsid w:val="05951721"/>
    <w:rsid w:val="06525D5D"/>
    <w:rsid w:val="069573C3"/>
    <w:rsid w:val="06E16999"/>
    <w:rsid w:val="0731198A"/>
    <w:rsid w:val="081F664A"/>
    <w:rsid w:val="08D35991"/>
    <w:rsid w:val="09275C07"/>
    <w:rsid w:val="09427282"/>
    <w:rsid w:val="09BA2A11"/>
    <w:rsid w:val="09DC2BDD"/>
    <w:rsid w:val="0A622CF2"/>
    <w:rsid w:val="0A943399"/>
    <w:rsid w:val="0AF24AC1"/>
    <w:rsid w:val="0B872E82"/>
    <w:rsid w:val="0B9847D2"/>
    <w:rsid w:val="0BE47E22"/>
    <w:rsid w:val="0D1A1BAD"/>
    <w:rsid w:val="0DA605B6"/>
    <w:rsid w:val="0E0920D4"/>
    <w:rsid w:val="0E461A34"/>
    <w:rsid w:val="0E6520DA"/>
    <w:rsid w:val="0F724C49"/>
    <w:rsid w:val="101342D2"/>
    <w:rsid w:val="105D46C8"/>
    <w:rsid w:val="105E237E"/>
    <w:rsid w:val="10E56512"/>
    <w:rsid w:val="10ED3604"/>
    <w:rsid w:val="111B7D14"/>
    <w:rsid w:val="11850DF9"/>
    <w:rsid w:val="12015351"/>
    <w:rsid w:val="12691AA0"/>
    <w:rsid w:val="13562A99"/>
    <w:rsid w:val="15C84EF0"/>
    <w:rsid w:val="15DC3C28"/>
    <w:rsid w:val="17543733"/>
    <w:rsid w:val="18020085"/>
    <w:rsid w:val="18294D15"/>
    <w:rsid w:val="1A003144"/>
    <w:rsid w:val="1A81050D"/>
    <w:rsid w:val="1C1B64A4"/>
    <w:rsid w:val="1C300A95"/>
    <w:rsid w:val="1CF359BC"/>
    <w:rsid w:val="1D996361"/>
    <w:rsid w:val="1DB829E1"/>
    <w:rsid w:val="1E106D20"/>
    <w:rsid w:val="1E41521E"/>
    <w:rsid w:val="1E824CC4"/>
    <w:rsid w:val="1F4E3EC3"/>
    <w:rsid w:val="1FD377EA"/>
    <w:rsid w:val="1FE93E04"/>
    <w:rsid w:val="201265D1"/>
    <w:rsid w:val="21D21048"/>
    <w:rsid w:val="23E23232"/>
    <w:rsid w:val="24A22B6E"/>
    <w:rsid w:val="24F11567"/>
    <w:rsid w:val="256140FE"/>
    <w:rsid w:val="25CA212D"/>
    <w:rsid w:val="26A226CF"/>
    <w:rsid w:val="26A43460"/>
    <w:rsid w:val="26DD0997"/>
    <w:rsid w:val="27DA2C71"/>
    <w:rsid w:val="28D61ECB"/>
    <w:rsid w:val="29414E8D"/>
    <w:rsid w:val="298E06D8"/>
    <w:rsid w:val="29AA47F6"/>
    <w:rsid w:val="2AAC4A32"/>
    <w:rsid w:val="2DDB3399"/>
    <w:rsid w:val="2E7913DC"/>
    <w:rsid w:val="2ECC39D6"/>
    <w:rsid w:val="2ED670C9"/>
    <w:rsid w:val="2F311B25"/>
    <w:rsid w:val="2F500941"/>
    <w:rsid w:val="30632765"/>
    <w:rsid w:val="309212AC"/>
    <w:rsid w:val="30B26273"/>
    <w:rsid w:val="30B66421"/>
    <w:rsid w:val="31FA30AD"/>
    <w:rsid w:val="325B2949"/>
    <w:rsid w:val="330D05F1"/>
    <w:rsid w:val="33A37D12"/>
    <w:rsid w:val="35193D1E"/>
    <w:rsid w:val="368224D5"/>
    <w:rsid w:val="369D536C"/>
    <w:rsid w:val="36F4166F"/>
    <w:rsid w:val="371A3E75"/>
    <w:rsid w:val="378D2004"/>
    <w:rsid w:val="380A30D1"/>
    <w:rsid w:val="38205E9B"/>
    <w:rsid w:val="3957156F"/>
    <w:rsid w:val="3D165D0C"/>
    <w:rsid w:val="3D495B0D"/>
    <w:rsid w:val="3ED66BD1"/>
    <w:rsid w:val="3F2D0FF9"/>
    <w:rsid w:val="3F43027F"/>
    <w:rsid w:val="3FC43A77"/>
    <w:rsid w:val="3FF3649E"/>
    <w:rsid w:val="413803C1"/>
    <w:rsid w:val="416E6875"/>
    <w:rsid w:val="418038FD"/>
    <w:rsid w:val="418A389A"/>
    <w:rsid w:val="423D6A70"/>
    <w:rsid w:val="430B24EB"/>
    <w:rsid w:val="431A343E"/>
    <w:rsid w:val="436C1F46"/>
    <w:rsid w:val="440C749E"/>
    <w:rsid w:val="44155021"/>
    <w:rsid w:val="44386C70"/>
    <w:rsid w:val="44CB4ACD"/>
    <w:rsid w:val="44D0645C"/>
    <w:rsid w:val="453D569E"/>
    <w:rsid w:val="454510F3"/>
    <w:rsid w:val="458E441F"/>
    <w:rsid w:val="47080346"/>
    <w:rsid w:val="472E3FC2"/>
    <w:rsid w:val="47CE7816"/>
    <w:rsid w:val="47D81BCE"/>
    <w:rsid w:val="487C02A9"/>
    <w:rsid w:val="491D65B9"/>
    <w:rsid w:val="492A497A"/>
    <w:rsid w:val="4CF54587"/>
    <w:rsid w:val="4D8070D7"/>
    <w:rsid w:val="4DEB0629"/>
    <w:rsid w:val="4E3939B2"/>
    <w:rsid w:val="4E832B8E"/>
    <w:rsid w:val="4EA10452"/>
    <w:rsid w:val="4ED022E2"/>
    <w:rsid w:val="4F29674D"/>
    <w:rsid w:val="4F2E401E"/>
    <w:rsid w:val="4F7C236A"/>
    <w:rsid w:val="4FC937A8"/>
    <w:rsid w:val="500D5C73"/>
    <w:rsid w:val="50C317C6"/>
    <w:rsid w:val="53453FB7"/>
    <w:rsid w:val="534B27E4"/>
    <w:rsid w:val="537366B9"/>
    <w:rsid w:val="5431540E"/>
    <w:rsid w:val="544C691B"/>
    <w:rsid w:val="5547637E"/>
    <w:rsid w:val="55A8235F"/>
    <w:rsid w:val="584C3E4A"/>
    <w:rsid w:val="58E52C83"/>
    <w:rsid w:val="59096895"/>
    <w:rsid w:val="598177FA"/>
    <w:rsid w:val="59F25682"/>
    <w:rsid w:val="5A531443"/>
    <w:rsid w:val="5A5844C3"/>
    <w:rsid w:val="5C6A3977"/>
    <w:rsid w:val="5EEB03F3"/>
    <w:rsid w:val="5EEB1DB9"/>
    <w:rsid w:val="604045F9"/>
    <w:rsid w:val="629A391E"/>
    <w:rsid w:val="62D00F17"/>
    <w:rsid w:val="656E4014"/>
    <w:rsid w:val="66480F77"/>
    <w:rsid w:val="66BD07E1"/>
    <w:rsid w:val="66D36A15"/>
    <w:rsid w:val="66DC32F9"/>
    <w:rsid w:val="67865EAC"/>
    <w:rsid w:val="67E23379"/>
    <w:rsid w:val="67F57C36"/>
    <w:rsid w:val="68510839"/>
    <w:rsid w:val="690C3A3A"/>
    <w:rsid w:val="69122896"/>
    <w:rsid w:val="69235EFD"/>
    <w:rsid w:val="6A466FFC"/>
    <w:rsid w:val="6A7A2FAB"/>
    <w:rsid w:val="6D86333A"/>
    <w:rsid w:val="6E67751A"/>
    <w:rsid w:val="6E81104C"/>
    <w:rsid w:val="6F454A0C"/>
    <w:rsid w:val="718F21FC"/>
    <w:rsid w:val="71A77AF2"/>
    <w:rsid w:val="724A7485"/>
    <w:rsid w:val="725B49CE"/>
    <w:rsid w:val="74346F08"/>
    <w:rsid w:val="74EA5E64"/>
    <w:rsid w:val="76AB520A"/>
    <w:rsid w:val="77D41F80"/>
    <w:rsid w:val="78481CDC"/>
    <w:rsid w:val="78A504AE"/>
    <w:rsid w:val="7A9D0005"/>
    <w:rsid w:val="7C5738E3"/>
    <w:rsid w:val="7CA630FF"/>
    <w:rsid w:val="7CBD257D"/>
    <w:rsid w:val="7D1C1121"/>
    <w:rsid w:val="7D403C31"/>
    <w:rsid w:val="7DBA7C84"/>
    <w:rsid w:val="7DED7AC8"/>
    <w:rsid w:val="7DFD03AD"/>
    <w:rsid w:val="7EF376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qFormat/>
    <w:uiPriority w:val="0"/>
    <w:pPr>
      <w:ind w:firstLine="200" w:firstLineChars="200"/>
      <w:outlineLvl w:val="1"/>
    </w:pPr>
    <w:rPr>
      <w:rFonts w:ascii="Cambria" w:hAnsi="Cambria" w:eastAsia="仿宋"/>
      <w:bCs/>
      <w:kern w:val="0"/>
      <w:sz w:val="28"/>
      <w:szCs w:val="26"/>
    </w:rPr>
  </w:style>
  <w:style w:type="paragraph" w:styleId="2">
    <w:name w:val="heading 6"/>
    <w:basedOn w:val="1"/>
    <w:next w:val="1"/>
    <w:qFormat/>
    <w:uiPriority w:val="0"/>
    <w:pPr>
      <w:keepNext/>
      <w:keepLines/>
      <w:tabs>
        <w:tab w:val="left" w:pos="1151"/>
      </w:tabs>
      <w:spacing w:line="320" w:lineRule="auto"/>
      <w:ind w:left="1151" w:hanging="1151"/>
      <w:outlineLvl w:val="5"/>
    </w:pPr>
    <w:rPr>
      <w:rFonts w:ascii="Cambria" w:hAnsi="Cambria"/>
      <w:b/>
      <w:bCs/>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7"/>
    <w:qFormat/>
    <w:uiPriority w:val="0"/>
    <w:pPr>
      <w:jc w:val="left"/>
    </w:pPr>
  </w:style>
  <w:style w:type="paragraph" w:styleId="6">
    <w:name w:val="Balloon Text"/>
    <w:basedOn w:val="1"/>
    <w:link w:val="29"/>
    <w:qFormat/>
    <w:uiPriority w:val="0"/>
    <w:rPr>
      <w:sz w:val="18"/>
      <w:szCs w:val="18"/>
    </w:rPr>
  </w:style>
  <w:style w:type="paragraph" w:styleId="7">
    <w:name w:val="footer"/>
    <w:basedOn w:val="1"/>
    <w:link w:val="30"/>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kern w:val="0"/>
      <w:sz w:val="24"/>
    </w:rPr>
  </w:style>
  <w:style w:type="paragraph" w:styleId="10">
    <w:name w:val="annotation subject"/>
    <w:basedOn w:val="5"/>
    <w:next w:val="5"/>
    <w:link w:val="28"/>
    <w:qFormat/>
    <w:uiPriority w:val="0"/>
    <w:rPr>
      <w:b/>
      <w:bCs/>
    </w:r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styleId="15">
    <w:name w:val="annotation reference"/>
    <w:basedOn w:val="12"/>
    <w:qFormat/>
    <w:uiPriority w:val="99"/>
    <w:rPr>
      <w:sz w:val="21"/>
      <w:szCs w:val="21"/>
    </w:rPr>
  </w:style>
  <w:style w:type="paragraph" w:customStyle="1" w:styleId="16">
    <w:name w:val="列出段落1"/>
    <w:basedOn w:val="1"/>
    <w:qFormat/>
    <w:uiPriority w:val="0"/>
    <w:pPr>
      <w:ind w:firstLine="420" w:firstLineChars="200"/>
    </w:pPr>
  </w:style>
  <w:style w:type="paragraph" w:customStyle="1" w:styleId="17">
    <w:name w:val="闻政标题5"/>
    <w:basedOn w:val="1"/>
    <w:qFormat/>
    <w:uiPriority w:val="0"/>
    <w:pPr>
      <w:spacing w:before="120" w:after="60" w:line="500" w:lineRule="exact"/>
      <w:ind w:firstLine="200" w:firstLineChars="200"/>
    </w:pPr>
    <w:rPr>
      <w:rFonts w:eastAsia="仿宋_GB2312"/>
      <w:b/>
      <w:kern w:val="0"/>
      <w:sz w:val="28"/>
      <w:szCs w:val="28"/>
    </w:rPr>
  </w:style>
  <w:style w:type="paragraph" w:customStyle="1" w:styleId="18">
    <w:name w:val="闻政表"/>
    <w:basedOn w:val="1"/>
    <w:qFormat/>
    <w:uiPriority w:val="0"/>
    <w:pPr>
      <w:spacing w:before="60" w:after="60"/>
      <w:jc w:val="center"/>
    </w:pPr>
    <w:rPr>
      <w:rFonts w:eastAsia="仿宋_GB2312"/>
      <w:b/>
      <w:kern w:val="0"/>
      <w:sz w:val="24"/>
      <w:szCs w:val="28"/>
    </w:rPr>
  </w:style>
  <w:style w:type="paragraph" w:styleId="19">
    <w:name w:val="List Paragraph"/>
    <w:basedOn w:val="1"/>
    <w:qFormat/>
    <w:uiPriority w:val="34"/>
    <w:pPr>
      <w:ind w:firstLine="420" w:firstLineChars="200"/>
    </w:pPr>
  </w:style>
  <w:style w:type="character" w:customStyle="1" w:styleId="20">
    <w:name w:val="标题 2 Char"/>
    <w:basedOn w:val="12"/>
    <w:link w:val="4"/>
    <w:qFormat/>
    <w:uiPriority w:val="0"/>
    <w:rPr>
      <w:rFonts w:ascii="Cambria" w:hAnsi="Cambria" w:eastAsia="仿宋"/>
      <w:bCs/>
      <w:kern w:val="0"/>
      <w:sz w:val="28"/>
      <w:szCs w:val="26"/>
    </w:rPr>
  </w:style>
  <w:style w:type="paragraph" w:customStyle="1" w:styleId="21">
    <w:name w:val="闻政正文"/>
    <w:basedOn w:val="1"/>
    <w:qFormat/>
    <w:uiPriority w:val="0"/>
    <w:pPr>
      <w:spacing w:line="500" w:lineRule="exact"/>
      <w:ind w:firstLine="560" w:firstLineChars="200"/>
    </w:pPr>
    <w:rPr>
      <w:rFonts w:eastAsia="仿宋_GB2312"/>
      <w:kern w:val="0"/>
      <w:sz w:val="28"/>
      <w:szCs w:val="28"/>
    </w:rPr>
  </w:style>
  <w:style w:type="paragraph" w:customStyle="1" w:styleId="22">
    <w:name w:val="附件 正文"/>
    <w:basedOn w:val="1"/>
    <w:qFormat/>
    <w:uiPriority w:val="0"/>
    <w:pPr>
      <w:widowControl/>
      <w:adjustRightInd w:val="0"/>
      <w:snapToGrid w:val="0"/>
      <w:spacing w:afterLines="50" w:line="360" w:lineRule="auto"/>
      <w:ind w:firstLine="200" w:firstLineChars="200"/>
      <w:jc w:val="left"/>
    </w:pPr>
    <w:rPr>
      <w:rFonts w:ascii="Tahoma" w:hAnsi="Tahoma" w:eastAsia="仿宋"/>
      <w:kern w:val="0"/>
      <w:sz w:val="32"/>
    </w:rPr>
  </w:style>
  <w:style w:type="character" w:customStyle="1" w:styleId="23">
    <w:name w:val="font11"/>
    <w:basedOn w:val="12"/>
    <w:qFormat/>
    <w:uiPriority w:val="0"/>
    <w:rPr>
      <w:rFonts w:hint="eastAsia" w:ascii="仿宋" w:hAnsi="仿宋" w:eastAsia="仿宋" w:cs="仿宋"/>
      <w:color w:val="000000"/>
      <w:sz w:val="21"/>
      <w:szCs w:val="21"/>
      <w:u w:val="none"/>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7">
    <w:name w:val="批注文字 Char"/>
    <w:basedOn w:val="12"/>
    <w:link w:val="5"/>
    <w:qFormat/>
    <w:uiPriority w:val="0"/>
    <w:rPr>
      <w:kern w:val="2"/>
      <w:sz w:val="21"/>
      <w:szCs w:val="22"/>
    </w:rPr>
  </w:style>
  <w:style w:type="character" w:customStyle="1" w:styleId="28">
    <w:name w:val="批注主题 Char"/>
    <w:basedOn w:val="27"/>
    <w:link w:val="10"/>
    <w:qFormat/>
    <w:uiPriority w:val="0"/>
    <w:rPr>
      <w:b/>
      <w:bCs/>
    </w:rPr>
  </w:style>
  <w:style w:type="character" w:customStyle="1" w:styleId="29">
    <w:name w:val="批注框文本 Char"/>
    <w:basedOn w:val="12"/>
    <w:link w:val="6"/>
    <w:qFormat/>
    <w:uiPriority w:val="0"/>
    <w:rPr>
      <w:kern w:val="2"/>
      <w:sz w:val="18"/>
      <w:szCs w:val="18"/>
    </w:rPr>
  </w:style>
  <w:style w:type="character" w:customStyle="1" w:styleId="30">
    <w:name w:val="页脚 Char"/>
    <w:basedOn w:val="12"/>
    <w:link w:val="7"/>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39</Pages>
  <Words>3782</Words>
  <Characters>21561</Characters>
  <Lines>179</Lines>
  <Paragraphs>50</Paragraphs>
  <TotalTime>35</TotalTime>
  <ScaleCrop>false</ScaleCrop>
  <LinksUpToDate>false</LinksUpToDate>
  <CharactersWithSpaces>25293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2021-08-28T02:50:00Z</dcterms:created>
  <dc:creator>DELL</dc:creator>
  <cp:lastModifiedBy>Administrator</cp:lastModifiedBy>
  <dcterms:modified xsi:type="dcterms:W3CDTF">2023-11-15T03:04:28Z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361F2D42953C4FCCB976DD711F3458AF</vt:lpwstr>
  </property>
</Properties>
</file>