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sz w:val="8"/>
          <w:szCs w:val="8"/>
          <w:lang w:eastAsia="zh-CN"/>
        </w:rPr>
      </w:pPr>
    </w:p>
    <w:p>
      <w:pPr>
        <w:pStyle w:val="2"/>
        <w:rPr>
          <w:rFonts w:hint="eastAsia"/>
          <w:sz w:val="16"/>
          <w:szCs w:val="20"/>
          <w:lang w:eastAsia="zh-CN"/>
        </w:rPr>
      </w:pPr>
    </w:p>
    <w:p>
      <w:pPr>
        <w:pStyle w:val="2"/>
        <w:rPr>
          <w:rFonts w:hint="eastAsia"/>
          <w:sz w:val="16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临安办发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pStyle w:val="2"/>
        <w:rPr>
          <w:sz w:val="1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临猗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关于进一步做好疫情防控期间安全生产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工作的紧急通知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）人民政府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安委会各成员单位：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10月16日全市疫情防控工作会议精神和市安委办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《关于进一步做好疫情防控期间安全生产工作的紧急通知》文件要求，现就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疫情防控期间安全生产工作有关事项紧急通知如下：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加强组织领导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统筹</w:t>
      </w:r>
      <w:r>
        <w:rPr>
          <w:rFonts w:hint="eastAsia" w:ascii="黑体" w:hAnsi="黑体" w:eastAsia="黑体" w:cs="黑体"/>
          <w:sz w:val="32"/>
          <w:szCs w:val="32"/>
        </w:rPr>
        <w:t>抓好疫情防控和安全生产工作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当前，党的二十大正在召开，我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县疫情防控工作已转为常态化。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深刻认识做好当前安全生产工作的极端重要性，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坚决扛牢扛实</w:t>
      </w:r>
      <w:r>
        <w:rPr>
          <w:rFonts w:hint="eastAsia" w:ascii="仿宋_GB2312" w:hAnsi="仿宋_GB2312" w:eastAsia="仿宋_GB2312" w:cs="仿宋_GB2312"/>
          <w:sz w:val="32"/>
          <w:szCs w:val="32"/>
        </w:rPr>
        <w:t>防范化解重大安全风险政治责任，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采取管用实用措施，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有效防范遏制各类生产安全事故发生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要坚决把安全生产工作纳入疫情防控工作大局，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疫情防控和化解安全风险统筹安排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，做到“</w:t>
      </w:r>
      <w:r>
        <w:rPr>
          <w:rFonts w:hint="eastAsia" w:ascii="仿宋_GB2312" w:hAnsi="仿宋_GB2312" w:eastAsia="仿宋_GB2312" w:cs="仿宋_GB2312"/>
          <w:sz w:val="32"/>
          <w:szCs w:val="32"/>
        </w:rPr>
        <w:t>两手抓、两手硬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，严防顾此失彼引发事故。要坚决把安全生产工作摆在更加突出的位置，加强组织领导，及时分析研判，特别是在人员转运、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临时隔离点运转、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生活物资保供等环节，要做到安全前置，贯穿始终。要坚决把安全生产工作牢牢抓在手上，充分考虑疫情形势对生产经营活动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带来的不利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和陆续复工复产实际，主要领导要亲自对安全生产工作进行再安排、再部署，分管领导要深入一线督导检查，督促和指导广大企业和群众绷紧疫情防控和安全生产链条，抓实抓细安全生产各项工作。各有关部门要主动靠前做好指导服务，研究解决突出问题和矛盾，加强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检查，对复工复产企业坚决做到不安全不生产。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二、强化管控措施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有效防范化解重大安全风险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疫情防控期间，要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加强对</w:t>
      </w:r>
      <w:r>
        <w:rPr>
          <w:rFonts w:hint="eastAsia" w:ascii="仿宋_GB2312" w:hAnsi="仿宋_GB2312" w:eastAsia="仿宋_GB2312" w:cs="仿宋_GB2312"/>
          <w:sz w:val="32"/>
          <w:szCs w:val="32"/>
        </w:rPr>
        <w:t>停工企业落实安全防范措施的督导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巡查，企业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复工复产前，要严密制定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复工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并经行业监管部门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验收合格后有序复工。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一要严密组织排查摸底。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各乡镇和有关部门要对本辖区、本行业领域内企业停开工情况进行全面摸排，建立台账。企业主要负责人、分管安全负责人、安全管理人员以及特种作业人员不</w:t>
      </w:r>
      <w:r>
        <w:rPr>
          <w:rFonts w:hint="eastAsia" w:ascii="仿宋_GB2312" w:hAnsi="仿宋_GB2312" w:eastAsia="仿宋_GB2312" w:cs="仿宋_GB2312"/>
          <w:sz w:val="32"/>
          <w:szCs w:val="32"/>
        </w:rPr>
        <w:t>齐全的坚决不得复产复工。企业停工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必须有一名领导带班值守，加强安全巡查检查。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二要加强企业派驻管理。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要严格落实“驻企入矿”规定，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派出</w:t>
      </w:r>
      <w:r>
        <w:rPr>
          <w:rFonts w:hint="eastAsia" w:ascii="仿宋_GB2312" w:hAnsi="仿宋_GB2312" w:eastAsia="仿宋_GB2312" w:cs="仿宋_GB2312"/>
          <w:sz w:val="32"/>
          <w:szCs w:val="32"/>
        </w:rPr>
        <w:t>驻厂安全监管专员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，全时</w:t>
      </w:r>
      <w:r>
        <w:rPr>
          <w:rFonts w:hint="eastAsia" w:ascii="仿宋_GB2312" w:hAnsi="仿宋_GB2312" w:eastAsia="仿宋_GB2312" w:cs="仿宋_GB2312"/>
          <w:sz w:val="32"/>
          <w:szCs w:val="32"/>
        </w:rPr>
        <w:t>盯守危化、金属冶炼、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熔融金属吊装等高危行业，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督导企业严格落实安全制度和安全操作规程，加强安全管理。同时，对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危险化学品行业涉及的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处重大危险源要严格落实主要负责人，技术负责人和操作负责人“三级包保责任制”，捆绑责任，落实到人。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三要升级管控重点环节。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党的二十大期间，原则上不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动火、有限空间等特殊作业，确需实施的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一律提级审批，制定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作业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风险评估，安全员、专业机构、专家和企业主要负责人同时现场监督实施。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四要加强安全督导检查。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各乡镇和有关部门要加强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的安全生产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执法检查，及时发现整治各类违法违规行为。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、突出</w:t>
      </w:r>
      <w:r>
        <w:rPr>
          <w:rFonts w:hint="eastAsia" w:ascii="黑体" w:hAnsi="黑体" w:eastAsia="黑体" w:cs="黑体"/>
          <w:sz w:val="32"/>
          <w:szCs w:val="32"/>
        </w:rPr>
        <w:t>重点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领域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全面落实各项</w:t>
      </w:r>
      <w:r>
        <w:rPr>
          <w:rFonts w:hint="eastAsia" w:ascii="黑体" w:hAnsi="黑体" w:eastAsia="黑体" w:cs="黑体"/>
          <w:sz w:val="32"/>
          <w:szCs w:val="32"/>
        </w:rPr>
        <w:t>安全防范措施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受疫情形势影响，一些生产企业面临生产链、物流链、人员链等诸多困难，既容易出现疫情中岗位配置不完整、跨岗补位不稳定、教育培训不到位、设备操作不熟练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、岗位风险不了解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等突出问题，也容易出现疫情结束后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赶进度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、超负荷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等行为，还会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设备频繁开停车、员工心态难调整等风险隐患，各级各部门一定要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金鼎死守，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加强对重点领域、重点部位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、关键装置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安全防范措施的落实。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涉疫场所方面:</w:t>
      </w:r>
      <w:r>
        <w:rPr>
          <w:rFonts w:hint="eastAsia" w:ascii="仿宋_GB2312" w:hAnsi="仿宋_GB2312" w:eastAsia="仿宋_GB2312" w:cs="仿宋_GB2312"/>
          <w:sz w:val="32"/>
          <w:szCs w:val="32"/>
        </w:rPr>
        <w:t>注意排查隔离观察点、核酸检测点、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等疫情防控重点场所安全，特别是建筑结构、消防安全、特种设备、应急值守等情况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对持续运转用电和用氧的设备、电气线路、易燃易爆物品仓库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、储存设施、</w:t>
      </w:r>
      <w:r>
        <w:rPr>
          <w:rFonts w:hint="eastAsia" w:ascii="仿宋_GB2312" w:hAnsi="仿宋_GB2312" w:eastAsia="仿宋_GB2312" w:cs="仿宋_GB2312"/>
          <w:sz w:val="32"/>
          <w:szCs w:val="32"/>
        </w:rPr>
        <w:t>、消防器材、消防通道等，要督促责任单位落实专人检查、责任到人、措施到位，对排查出的问题隐患，实行挂账销号，现场交办，限期整改。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危险化学品</w:t>
      </w:r>
      <w:r>
        <w:rPr>
          <w:rFonts w:hint="eastAsia" w:ascii="楷体" w:hAnsi="楷体" w:eastAsia="楷体" w:cs="楷体"/>
          <w:sz w:val="32"/>
          <w:szCs w:val="32"/>
        </w:rPr>
        <w:t>方面: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重点对合成氨生产以及涉及重大危险源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排查整治。加强对构成重大危险源的罐区和储存库房、危险化工工艺的生产装置等重点部位和即开停车、检维修、动火作业、装卸作业等重点环节的安全监管。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冶金工贸方面: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加强对涉及易燃易爆、高温高压等生产储存装置和设施的安全检查。坚决整治铸造装置维护不及时、吊运高温熔融金属的起重机不符合治金起重机相关要求、人员聚集场所设置在高温熔融金属吊运影响区域内等重大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道路交通方面：</w:t>
      </w:r>
      <w:r>
        <w:rPr>
          <w:rFonts w:hint="eastAsia" w:ascii="仿宋_GB2312" w:hAnsi="仿宋_GB2312" w:eastAsia="仿宋_GB2312" w:cs="仿宋_GB2312"/>
          <w:sz w:val="32"/>
          <w:szCs w:val="32"/>
        </w:rPr>
        <w:t>深刻汲取贵州“9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18”转运隔离人员途中发生重大交通事故教训，做好隔离人员转运交通安全，加强驾驶员的安全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培训、疫情防范措施及客运车辆重点部位的消毒工作。同时，根据冬季大雾、冰冻等气候特点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临水临崖、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急弯陡坡、</w:t>
      </w:r>
      <w:r>
        <w:rPr>
          <w:rFonts w:hint="eastAsia" w:ascii="仿宋_GB2312" w:hAnsi="仿宋_GB2312" w:eastAsia="仿宋_GB2312" w:cs="仿宋_GB2312"/>
          <w:sz w:val="32"/>
          <w:szCs w:val="32"/>
        </w:rPr>
        <w:t>长下坡等危险路段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的隐患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排查治理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加强对物流、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保供、危险品</w:t>
      </w:r>
      <w:r>
        <w:rPr>
          <w:rFonts w:hint="eastAsia" w:ascii="仿宋_GB2312" w:hAnsi="仿宋_GB2312" w:eastAsia="仿宋_GB2312" w:cs="仿宋_GB2312"/>
          <w:sz w:val="32"/>
          <w:szCs w:val="32"/>
        </w:rPr>
        <w:t>等重点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车辆的安全监管，严查超速、超员、超载、疲劳驾驶等严重交通违法行为。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建筑施工方面：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重点整治施工企业无相关资质或超越资质范围承揽工程及违法分包、转包工程，盲目赶工期、抢进度和恶劣天气强行组织施工，特别是防火、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防触电、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防窒息、防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高处</w:t>
      </w:r>
      <w:r>
        <w:rPr>
          <w:rFonts w:hint="eastAsia" w:ascii="仿宋_GB2312" w:hAnsi="仿宋_GB2312" w:eastAsia="仿宋_GB2312" w:cs="仿宋_GB2312"/>
          <w:sz w:val="32"/>
          <w:szCs w:val="32"/>
        </w:rPr>
        <w:t>坠落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工作措施不到位问题。加强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建筑工地办公区、生活区等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安全管理和人员管控。突出以深基坑、高支模、脚手架、建筑起重机械等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作业</w:t>
      </w:r>
      <w:r>
        <w:rPr>
          <w:rFonts w:hint="eastAsia" w:ascii="仿宋_GB2312" w:hAnsi="仿宋_GB2312" w:eastAsia="仿宋_GB2312" w:cs="仿宋_GB2312"/>
          <w:sz w:val="32"/>
          <w:szCs w:val="32"/>
        </w:rPr>
        <w:t>为重点，进一步强化施工现场管理，严查违法、违规、违章行为。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消防安全方面：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对养老机构、学校、医院、规模租赁住宿等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密集场所和大型商业综合体、高层建筑、老旧小区、地下空间等重点区域，紧盯厂房仓库、“多合一”、电动自行车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集中充电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经营性</w:t>
      </w:r>
      <w:r>
        <w:rPr>
          <w:rFonts w:hint="eastAsia" w:ascii="仿宋_GB2312" w:hAnsi="仿宋_GB2312" w:eastAsia="仿宋_GB2312" w:cs="仿宋_GB2312"/>
          <w:sz w:val="32"/>
          <w:szCs w:val="32"/>
        </w:rPr>
        <w:t>自建出租房等火灾高风险场所，加强日常检查巡查，及时查处违规动火、烟头随意处置、燃气泄漏、电瓶车入室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和飞线</w:t>
      </w:r>
      <w:r>
        <w:rPr>
          <w:rFonts w:hint="eastAsia" w:ascii="仿宋_GB2312" w:hAnsi="仿宋_GB2312" w:eastAsia="仿宋_GB2312" w:cs="仿宋_GB2312"/>
          <w:sz w:val="32"/>
          <w:szCs w:val="32"/>
        </w:rPr>
        <w:t>充电等消防安全隐患。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教育、文旅、农业、电力、特种设备、水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、油气输送管道等重点行业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也要结合各自实际，加强安全隐患排查治理和执法检查，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积极督促辖区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企业切实加强安全防范措施落实。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多措并举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扎实做好</w:t>
      </w:r>
      <w:r>
        <w:rPr>
          <w:rFonts w:hint="eastAsia" w:ascii="黑体" w:hAnsi="黑体" w:eastAsia="黑体" w:cs="黑体"/>
          <w:sz w:val="32"/>
          <w:szCs w:val="32"/>
        </w:rPr>
        <w:t>复产复工安全验收工作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复工复产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期间各类风险因素诸多，稍有不慎极易引发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生产安全事故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单位和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部门要结合疫情防控形势，严密组织相关企业有序复产复工。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一是落实“日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报送</w:t>
      </w:r>
      <w:r>
        <w:rPr>
          <w:rFonts w:hint="eastAsia" w:ascii="楷体" w:hAnsi="楷体" w:eastAsia="楷体" w:cs="楷体"/>
          <w:sz w:val="32"/>
          <w:szCs w:val="32"/>
        </w:rPr>
        <w:t>”制度。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党的二十大期间，结合疫情防控实际，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安委办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特使时段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和重点行业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于每日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17时前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将当天本单位组织安全检查情况向安委办报送，以便及时了解和掌握全县安全生产情况，针对性部署重点安全防范工作。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二是严密组织复产验收。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要深入分析企业复产复工期间可能出现的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风险因素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，经现场安全条件确认并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报请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行业主管部门批准后方可复产复工。要督促企业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落实安全防范措施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验收标准和验收程序，做到“五个必须”：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制定科学规范的复产复工方案，确保复产工作安全有序实施；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召开一次安全生产专题会议，进行安全责任承诺和安全警示教育；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开展一次安全风险评估，进行全面风险隐患排查，落实风险防控技术措施，做到措施不落实不生产、隐患不排除不生产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严格落实有限空间、动火等特殊作业升级审批管控要求；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制定装置开车应急处置预案，完善重点危险作业岗位和关键装置的应急处置措施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三是靠前做好服务指导。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行业主管部门要坚持线上线下相结合、执法与服务相结合，通过线上指导、视频培训、专家上门等方式，指导企业做好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风险评估和隐患排查治理，确保复产复工安全有序。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五、强化应急</w:t>
      </w:r>
      <w:r>
        <w:rPr>
          <w:rFonts w:hint="eastAsia" w:ascii="黑体" w:hAnsi="黑体" w:eastAsia="黑体" w:cs="黑体"/>
          <w:sz w:val="32"/>
          <w:szCs w:val="32"/>
        </w:rPr>
        <w:t>值守，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全面做好突发事件应急准备工作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各部门严格执行领导干部带班和24小时值班制度，加强值班力量配备，切实做到领导不缺位、岗位不缺人、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不脱节。要严格执行安全生产、自然灾害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快报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制度，坚决杜绝瞒报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迟报、漏报、谎报、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拖延不报等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要加强监测预警，及时发布预警信息，督促、指导企业加强安全防范。要结合疫情防控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，完善制定各类应急预案和部门应急联动机制，充分做好应急队伍准备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应急物资储备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，科学制定调拨方案，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合理调配救援力量，强化预案演练，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遇到突发事件后</w:t>
      </w:r>
      <w:r>
        <w:rPr>
          <w:rFonts w:hint="eastAsia" w:ascii="仿宋_GB2312" w:hAnsi="仿宋_GB2312" w:eastAsia="仿宋_GB2312" w:cs="仿宋_GB2312"/>
          <w:sz w:val="32"/>
          <w:szCs w:val="32"/>
        </w:rPr>
        <w:t>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应迅速、处置得力、及时高效。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临猗县安全生产委员会办公室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2022年10月20日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2"/>
                        <w:szCs w:val="36"/>
                      </w:rPr>
                    </w:pP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ODU5ZWM5NGNkYTM4YjU5OTgzMjZjZGNjYmMzNDgifQ=="/>
  </w:docVars>
  <w:rsids>
    <w:rsidRoot w:val="00000000"/>
    <w:rsid w:val="040F7FEB"/>
    <w:rsid w:val="043930E0"/>
    <w:rsid w:val="0A3604C6"/>
    <w:rsid w:val="18B60213"/>
    <w:rsid w:val="1A0314E0"/>
    <w:rsid w:val="20874691"/>
    <w:rsid w:val="2265586D"/>
    <w:rsid w:val="2559332C"/>
    <w:rsid w:val="2B4011A1"/>
    <w:rsid w:val="2CFE2B46"/>
    <w:rsid w:val="37F442AD"/>
    <w:rsid w:val="3A8A3C6B"/>
    <w:rsid w:val="3C6B187A"/>
    <w:rsid w:val="3CEF753D"/>
    <w:rsid w:val="4601007B"/>
    <w:rsid w:val="49CC7CB0"/>
    <w:rsid w:val="4A070E34"/>
    <w:rsid w:val="4B8B3770"/>
    <w:rsid w:val="4DFD0528"/>
    <w:rsid w:val="4E53672A"/>
    <w:rsid w:val="529A036B"/>
    <w:rsid w:val="597F7DE2"/>
    <w:rsid w:val="603E4A2C"/>
    <w:rsid w:val="681317B4"/>
    <w:rsid w:val="6BF15048"/>
    <w:rsid w:val="6C3F0FBE"/>
    <w:rsid w:val="6D427A35"/>
    <w:rsid w:val="70613A2A"/>
    <w:rsid w:val="753004A0"/>
    <w:rsid w:val="7C1A2136"/>
    <w:rsid w:val="7C9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/>
      <w:ind w:firstLine="200" w:firstLineChars="200"/>
    </w:pPr>
    <w:rPr>
      <w:rFonts w:ascii="Calibri" w:hAnsi="Calibri"/>
    </w:r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200" w:leftChars="200"/>
      <w:textAlignment w:val="baseline"/>
    </w:pPr>
    <w:rPr>
      <w:rFonts w:ascii="Times New Roman" w:hAnsi="Times New Roman" w:eastAsia="宋体"/>
      <w:szCs w:val="24"/>
    </w:rPr>
  </w:style>
  <w:style w:type="paragraph" w:customStyle="1" w:styleId="4">
    <w:name w:val="NormalIndent"/>
    <w:basedOn w:val="1"/>
    <w:qFormat/>
    <w:uiPriority w:val="0"/>
    <w:pPr>
      <w:ind w:firstLine="200" w:firstLineChars="200"/>
      <w:textAlignment w:val="baseline"/>
    </w:pPr>
    <w:rPr>
      <w:rFonts w:ascii="Times New Roman" w:hAnsi="Times New Roman" w:eastAsia="仿宋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3026</Words>
  <Characters>3040</Characters>
  <Lines>0</Lines>
  <Paragraphs>0</Paragraphs>
  <TotalTime>5</TotalTime>
  <ScaleCrop>false</ScaleCrop>
  <LinksUpToDate>false</LinksUpToDate>
  <CharactersWithSpaces>3042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2022-10-21T04:14:15Z</cp:lastPrinted>
  <dcterms:modified xsi:type="dcterms:W3CDTF">2022-10-21T04:15:32Z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D3670DE1CAC74D4DA999D4CEBC52B480</vt:lpwstr>
  </property>
</Properties>
</file>