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711号，以下简称《条例》）和国务院办公厅政府信息与政务公开办公室《关于政府信息公开工作年度报告有关事项的通知》（国办公开办函〔2019〕60号）要求，现公布临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2021年政府信息公开工作年度报告。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由总体情况、主动公开政府信息情况、收到和处理政府信息公开申请情况、政府信息公开行政复议及行政诉讼情况、存在的主要问题及改进情况、其他需要报告的事项等六部分组成，所列数据的统计期限为2021年1月1日至2021年12月31日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2021年,临猗县财政局按照政府信息公开工作要求，立足财政职能和实际情况，围绕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2021年重点任务工作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，确保及时准确公开我局政府信息工作。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我局成立专门领导小组并多次召开会议研究重点工程、人事调整、预决算等相关信息公开工作，全力确保政府信息公开各项工作落到实处。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强化信息公开。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2021年全年发布各类财政信息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条，其中在《运城日报》、《运城晚报》、《临猗通讯》及临沂在线等主流报刊、网络媒体平台发表宣传报道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余篇次，进一步创新公开形式，提高公开水平。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健全制度机制。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优化完善依申请公开、政策解读、政府网站和政务新媒体管理、发文流程、监督考核等工作制度，政务公开制度体系更加健全。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二、主动公开政府信息情况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信息内容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本年制发件数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本年废止件数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规章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行政规范性文件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ab/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行政许可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行政处罚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行政强制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行政事业性收费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1275"/>
        <w:gridCol w:w="429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43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429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自然人</w:t>
            </w:r>
          </w:p>
        </w:tc>
        <w:tc>
          <w:tcPr>
            <w:tcW w:w="4261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法人或其他组织</w:t>
            </w:r>
          </w:p>
        </w:tc>
        <w:tc>
          <w:tcPr>
            <w:tcW w:w="853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429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企业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机构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组织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法律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机构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</w:t>
            </w:r>
          </w:p>
        </w:tc>
        <w:tc>
          <w:tcPr>
            <w:tcW w:w="853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42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（一）予以公开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（三）不予公开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（四）无法提供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2.没有县城信息需要制作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（五）不予处理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（六）其他处理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2.申请人逾期未按收费通知要缴纳费用、行政机关不再处理其政府信息公开申请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3.其他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（七）总计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其他结果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尚未审结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存在的主要问题及改进情况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color w:val="auto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2021年，我局在政府公开方面虽然做了大量的工作，但也存在着一些问题：一是对政务公开工作的重要性认识不足，队伍专业化水平需进一步提高。二是主动公开工作仍有待于加强，仍存在部分不及时、不全面等问题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/>
          <w:color w:val="auto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改进措施：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  <w:t>提高认识，加强相关方面培训。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坚持以习近平新时代中国特色社会主义思想为指导，全面贯彻党的十九大和十九届历次全会精神，强化学习培训，完善政务公开制度体系，加强政务公开标准化规范化建设。不断总结经验,逐步完善信息公开长效工作机制,确保政府信息公开工作制度化、规范化发展,切实提升人民满意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六、其他需要报告的事项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69C00"/>
    <w:multiLevelType w:val="singleLevel"/>
    <w:tmpl w:val="87A69C0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A15059"/>
    <w:multiLevelType w:val="singleLevel"/>
    <w:tmpl w:val="59A150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AD45996"/>
    <w:multiLevelType w:val="singleLevel"/>
    <w:tmpl w:val="5AD459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4F94"/>
    <w:rsid w:val="0BC14F94"/>
    <w:rsid w:val="164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2022-01-25T03:30:00Z</dcterms:created>
  <dc:creator>heyangpeng</dc:creator>
  <cp:lastModifiedBy>heyangpeng</cp:lastModifiedBy>
  <dcterms:modified xsi:type="dcterms:W3CDTF">2022-01-26T01:02:58Z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E947689E010245AA89E71668557142C8</vt:lpwstr>
  </property>
</Properties>
</file>