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right="0" w:firstLine="0" w:firstLineChars="0"/>
        <w:jc w:val="center"/>
        <w:textAlignment w:val="auto"/>
        <w:outlineLvl w:val="9"/>
        <w:rPr>
          <w:rFonts w:hint="default" w:ascii="Times New Roman" w:hAnsi="Times New Roman" w:eastAsia="仿宋_GB2312" w:cs="Times New Roman"/>
          <w:bCs/>
          <w:color w:val="auto"/>
          <w:sz w:val="32"/>
          <w:szCs w:val="32"/>
        </w:rPr>
      </w:pPr>
      <w:bookmarkStart w:id="0" w:name="_GoBack"/>
      <w:bookmarkEnd w:id="0"/>
      <w:r>
        <w:rPr>
          <w:rFonts w:hint="default" w:ascii="Times New Roman" w:hAnsi="Times New Roman" w:eastAsia="方正小标宋简体" w:cs="Times New Roman"/>
          <w:color w:val="000000"/>
          <w:sz w:val="44"/>
          <w:szCs w:val="44"/>
          <w:lang w:val="en-US" w:eastAsia="zh-CN"/>
        </w:rPr>
        <w:t xml:space="preserve">  </w:t>
      </w:r>
      <w:r>
        <w:rPr>
          <w:rFonts w:hint="default" w:ascii="Times New Roman" w:hAnsi="Times New Roman" w:cs="Times New Roman"/>
          <w:b/>
          <w:color w:val="auto"/>
          <w:spacing w:val="-7"/>
          <w:lang w:eastAsia="zh-CN"/>
        </w:rPr>
        <w:tab/>
      </w:r>
    </w:p>
    <w:p>
      <w:pPr>
        <w:widowControl w:val="0"/>
        <w:wordWrap/>
        <w:adjustRightInd/>
        <w:snapToGrid/>
        <w:spacing w:line="600" w:lineRule="exact"/>
        <w:ind w:left="0" w:leftChars="0" w:right="0" w:firstLine="0" w:firstLineChars="0"/>
        <w:jc w:val="center"/>
        <w:textAlignment w:val="auto"/>
        <w:outlineLvl w:val="9"/>
        <w:rPr>
          <w:rFonts w:hint="default" w:ascii="Times New Roman" w:hAnsi="Times New Roman" w:eastAsia="仿宋_GB2312" w:cs="Times New Roman"/>
          <w:bCs/>
          <w:color w:val="auto"/>
          <w:sz w:val="32"/>
          <w:szCs w:val="32"/>
        </w:rPr>
      </w:pPr>
    </w:p>
    <w:p>
      <w:pPr>
        <w:widowControl w:val="0"/>
        <w:wordWrap/>
        <w:adjustRightInd/>
        <w:snapToGrid/>
        <w:spacing w:line="600" w:lineRule="exact"/>
        <w:ind w:left="0" w:leftChars="0" w:right="0" w:firstLine="0" w:firstLineChars="0"/>
        <w:jc w:val="center"/>
        <w:textAlignment w:val="auto"/>
        <w:outlineLvl w:val="9"/>
        <w:rPr>
          <w:rFonts w:hint="default" w:ascii="Times New Roman" w:hAnsi="Times New Roman" w:eastAsia="仿宋_GB2312" w:cs="Times New Roman"/>
          <w:bCs/>
          <w:color w:val="auto"/>
          <w:sz w:val="32"/>
          <w:szCs w:val="32"/>
        </w:rPr>
      </w:pPr>
    </w:p>
    <w:p>
      <w:pPr>
        <w:widowControl w:val="0"/>
        <w:wordWrap/>
        <w:adjustRightInd/>
        <w:snapToGrid/>
        <w:spacing w:line="600" w:lineRule="exact"/>
        <w:ind w:left="0" w:leftChars="0" w:right="0" w:firstLine="0" w:firstLineChars="0"/>
        <w:jc w:val="center"/>
        <w:textAlignment w:val="auto"/>
        <w:outlineLvl w:val="9"/>
        <w:rPr>
          <w:rFonts w:hint="default" w:ascii="Times New Roman" w:hAnsi="Times New Roman" w:eastAsia="仿宋_GB2312" w:cs="Times New Roman"/>
          <w:bCs/>
          <w:color w:val="auto"/>
          <w:sz w:val="32"/>
          <w:szCs w:val="32"/>
        </w:rPr>
      </w:pPr>
    </w:p>
    <w:p>
      <w:pPr>
        <w:widowControl w:val="0"/>
        <w:wordWrap/>
        <w:adjustRightInd/>
        <w:snapToGrid/>
        <w:spacing w:line="600" w:lineRule="exact"/>
        <w:ind w:left="0" w:leftChars="0" w:right="0" w:firstLine="0" w:firstLineChars="0"/>
        <w:jc w:val="center"/>
        <w:textAlignment w:val="auto"/>
        <w:outlineLvl w:val="9"/>
        <w:rPr>
          <w:rFonts w:hint="default" w:ascii="Times New Roman" w:hAnsi="Times New Roman" w:eastAsia="仿宋_GB2312" w:cs="Times New Roman"/>
          <w:bCs/>
          <w:color w:val="auto"/>
          <w:sz w:val="32"/>
          <w:szCs w:val="32"/>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ind w:left="0" w:leftChars="0" w:right="0" w:firstLine="0" w:firstLineChars="0"/>
        <w:textAlignment w:val="auto"/>
        <w:outlineLvl w:val="9"/>
        <w:rPr>
          <w:rFonts w:hint="default" w:ascii="Times New Roman" w:hAnsi="Times New Roman" w:cs="Times New Roman"/>
          <w:color w:val="auto"/>
        </w:rPr>
      </w:pPr>
    </w:p>
    <w:p>
      <w:pP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临</w:t>
      </w:r>
      <w:r>
        <w:rPr>
          <w:rFonts w:hint="default" w:ascii="Times New Roman" w:hAnsi="Times New Roman" w:eastAsia="仿宋_GB2312" w:cs="Times New Roman"/>
          <w:bCs/>
          <w:color w:val="auto"/>
          <w:sz w:val="32"/>
          <w:szCs w:val="32"/>
          <w:lang w:eastAsia="zh-CN"/>
        </w:rPr>
        <w:t>字</w:t>
      </w:r>
      <w:r>
        <w:rPr>
          <w:rFonts w:hint="default" w:ascii="Times New Roman" w:hAnsi="Times New Roman" w:eastAsia="仿宋_GB2312" w:cs="Times New Roman"/>
          <w:bCs/>
          <w:color w:val="auto"/>
          <w:sz w:val="32"/>
          <w:szCs w:val="32"/>
        </w:rPr>
        <w:t>〔20</w:t>
      </w:r>
      <w:r>
        <w:rPr>
          <w:rFonts w:hint="default" w:ascii="Times New Roman" w:hAnsi="Times New Roman" w:eastAsia="仿宋_GB2312" w:cs="Times New Roman"/>
          <w:bCs/>
          <w:color w:val="auto"/>
          <w:sz w:val="32"/>
          <w:szCs w:val="32"/>
          <w:lang w:val="en-US" w:eastAsia="zh-CN"/>
        </w:rPr>
        <w:t>22</w:t>
      </w:r>
      <w:r>
        <w:rPr>
          <w:rFonts w:hint="default"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6</w:t>
      </w:r>
      <w:r>
        <w:rPr>
          <w:rFonts w:hint="default" w:ascii="Times New Roman" w:hAnsi="Times New Roman" w:eastAsia="仿宋_GB2312" w:cs="Times New Roman"/>
          <w:bCs/>
          <w:color w:val="auto"/>
          <w:sz w:val="32"/>
          <w:szCs w:val="32"/>
        </w:rPr>
        <w:t>号</w:t>
      </w: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eastAsia="zh-CN"/>
        </w:rPr>
        <w:t>签发人：于鹏飞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pacing w:val="32"/>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32"/>
          <w:sz w:val="44"/>
          <w:szCs w:val="44"/>
        </w:rPr>
      </w:pPr>
      <w:r>
        <w:rPr>
          <w:rFonts w:hint="default" w:ascii="Times New Roman" w:hAnsi="Times New Roman" w:eastAsia="方正小标宋简体" w:cs="Times New Roman"/>
          <w:color w:val="auto"/>
          <w:spacing w:val="32"/>
          <w:sz w:val="44"/>
          <w:szCs w:val="44"/>
        </w:rPr>
        <w:t>中共临猗县委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auto"/>
          <w:spacing w:val="-11"/>
          <w:sz w:val="44"/>
          <w:szCs w:val="44"/>
        </w:rPr>
      </w:pPr>
      <w:r>
        <w:rPr>
          <w:rFonts w:hint="default" w:ascii="Times New Roman" w:hAnsi="Times New Roman" w:eastAsia="方正小标宋简体" w:cs="Times New Roman"/>
          <w:b w:val="0"/>
          <w:bCs/>
          <w:color w:val="auto"/>
          <w:spacing w:val="-11"/>
          <w:sz w:val="44"/>
          <w:szCs w:val="44"/>
          <w:lang w:eastAsia="zh-CN"/>
        </w:rPr>
        <w:t>临猗县</w:t>
      </w:r>
      <w:r>
        <w:rPr>
          <w:rFonts w:hint="default" w:ascii="Times New Roman" w:hAnsi="Times New Roman" w:eastAsia="方正小标宋简体" w:cs="Times New Roman"/>
          <w:b w:val="0"/>
          <w:bCs/>
          <w:color w:val="auto"/>
          <w:spacing w:val="-11"/>
          <w:sz w:val="44"/>
          <w:szCs w:val="44"/>
        </w:rPr>
        <w:t>人民政府</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b w:val="0"/>
          <w:bCs w:val="0"/>
          <w:sz w:val="44"/>
          <w:szCs w:val="44"/>
          <w:lang w:val="en-US" w:eastAsia="zh-CN"/>
        </w:rPr>
        <w:t>2021</w:t>
      </w:r>
      <w:r>
        <w:rPr>
          <w:rFonts w:hint="default" w:ascii="Times New Roman" w:hAnsi="Times New Roman" w:eastAsia="方正小标宋简体" w:cs="Times New Roman"/>
          <w:sz w:val="44"/>
          <w:szCs w:val="44"/>
          <w:lang w:val="en-US" w:eastAsia="zh-CN"/>
        </w:rPr>
        <w:t>年度</w:t>
      </w:r>
      <w:r>
        <w:rPr>
          <w:rFonts w:hint="default" w:ascii="Times New Roman" w:hAnsi="Times New Roman" w:eastAsia="方正小标宋简体" w:cs="Times New Roman"/>
          <w:sz w:val="44"/>
          <w:szCs w:val="44"/>
          <w:lang w:eastAsia="zh-CN"/>
        </w:rPr>
        <w:t>法治政府建设工作的情况报告</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lang w:val="en-US" w:eastAsia="zh-CN"/>
        </w:rPr>
        <w:t>委</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我县坚持以习近平新时代中国特色社会主义思想为指导，深入学习贯彻习近平法治思想，以强化党政主要负责人履行推进法治建设第一责任人职责落实为抓手，持续凝聚推进法治政府建设工作合力。紧紧围绕中央、省、市法治政府建设各项部署，坚持问题导向，多措并举，狠抓落实，推进法治政府各项工作有序开展。依法行政体制机制进一步完善，政府各项工作法治化、规范化水平进一步提升，法治政府建设取得新进展。现将我县2021年度</w:t>
      </w:r>
      <w:r>
        <w:rPr>
          <w:rFonts w:hint="default" w:ascii="Times New Roman" w:hAnsi="Times New Roman" w:eastAsia="仿宋_GB2312" w:cs="Times New Roman"/>
          <w:sz w:val="32"/>
          <w:szCs w:val="32"/>
          <w:highlight w:val="none"/>
          <w:lang w:val="en-US" w:eastAsia="zh-CN"/>
        </w:rPr>
        <w:t>法治政府建设</w:t>
      </w:r>
      <w:r>
        <w:rPr>
          <w:rFonts w:hint="default" w:ascii="Times New Roman" w:hAnsi="Times New Roman" w:eastAsia="仿宋_GB2312" w:cs="Times New Roman"/>
          <w:sz w:val="32"/>
          <w:szCs w:val="32"/>
          <w:lang w:val="en-US" w:eastAsia="zh-CN"/>
        </w:rPr>
        <w:t>工作报告如下: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一、法治政府建设及党政主要负责人履行推进法治建设第一责任人职责情况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sz w:val="32"/>
          <w:szCs w:val="32"/>
          <w:lang w:eastAsia="zh-CN"/>
        </w:rPr>
      </w:pPr>
      <w:r>
        <w:rPr>
          <w:rFonts w:hint="eastAsia" w:ascii="楷体_GB2312" w:hAnsi="楷体_GB2312" w:eastAsia="楷体_GB2312" w:cs="楷体_GB2312"/>
          <w:sz w:val="32"/>
          <w:szCs w:val="32"/>
          <w:lang w:eastAsia="zh-CN"/>
        </w:rPr>
        <w:t>（一）提高政治站位，全力推动法治政府建设任务落实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将法治政府建设纳入地区发展总体规划。</w:t>
      </w:r>
      <w:r>
        <w:rPr>
          <w:rFonts w:hint="default" w:ascii="Times New Roman" w:hAnsi="Times New Roman" w:eastAsia="仿宋_GB2312" w:cs="Times New Roman"/>
          <w:sz w:val="32"/>
          <w:szCs w:val="32"/>
          <w:lang w:val="en-US" w:eastAsia="zh-CN"/>
        </w:rPr>
        <w:t>中国共产党临猗县第十四次代表大会强调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规范人大、政协、基层组织依法履职，进一步规范决策机制和议事规则。</w:t>
      </w:r>
      <w:r>
        <w:rPr>
          <w:rFonts w:hint="eastAsia" w:ascii="Times New Roman" w:hAnsi="Times New Roman" w:eastAsia="仿宋_GB2312" w:cs="Times New Roman"/>
          <w:sz w:val="32"/>
          <w:szCs w:val="32"/>
          <w:lang w:val="en-US" w:eastAsia="zh-CN"/>
        </w:rPr>
        <w:t>年初召开的</w:t>
      </w:r>
      <w:r>
        <w:rPr>
          <w:rFonts w:hint="default" w:ascii="Times New Roman" w:hAnsi="Times New Roman" w:eastAsia="仿宋_GB2312" w:cs="Times New Roman"/>
          <w:sz w:val="32"/>
          <w:szCs w:val="32"/>
          <w:lang w:val="en-US" w:eastAsia="zh-CN"/>
        </w:rPr>
        <w:t>全县经济工作会议明确提出建设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法治临猗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，提升社会治理水平的目标任务。《中共临猗县委2021年工作要点》要求：深入贯彻习近平法治思想，健全党领导全面依法治国的制度和工作机制。</w:t>
      </w:r>
      <w:r>
        <w:rPr>
          <w:rFonts w:hint="eastAsia" w:ascii="Times New Roman" w:hAnsi="Times New Roman" w:eastAsia="仿宋_GB2312" w:cs="Times New Roman"/>
          <w:sz w:val="32"/>
          <w:szCs w:val="32"/>
          <w:lang w:val="en-US" w:eastAsia="zh-CN"/>
        </w:rPr>
        <w:t>紧紧围绕县委、县政府总体规划主要突出“三抓”。</w:t>
      </w:r>
      <w:r>
        <w:rPr>
          <w:rFonts w:hint="default" w:ascii="Times New Roman" w:hAnsi="Times New Roman" w:eastAsia="仿宋" w:cs="Times New Roman"/>
          <w:b/>
          <w:bCs/>
          <w:sz w:val="32"/>
          <w:szCs w:val="32"/>
        </w:rPr>
        <w:t>一是</w:t>
      </w:r>
      <w:r>
        <w:rPr>
          <w:rFonts w:hint="default" w:ascii="Times New Roman" w:hAnsi="Times New Roman" w:eastAsia="仿宋_GB2312" w:cs="Times New Roman"/>
          <w:sz w:val="32"/>
          <w:szCs w:val="32"/>
          <w:lang w:val="en-US" w:eastAsia="zh-CN"/>
        </w:rPr>
        <w:t>抓</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关键少数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。县委、政府理论学习中心组率先垂范，围绕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习近平法治思想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、《法治政府建设实施纲要（2021—2025）》、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民法典</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国家安全法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以及中央、省、市关于法治政府建设的重要指示精神等组织专题学习，提高履职能力。</w:t>
      </w:r>
      <w:r>
        <w:rPr>
          <w:rFonts w:hint="default" w:ascii="Times New Roman" w:hAnsi="Times New Roman" w:eastAsia="仿宋" w:cs="Times New Roman"/>
          <w:b/>
          <w:bCs/>
          <w:sz w:val="32"/>
          <w:szCs w:val="32"/>
        </w:rPr>
        <w:t>二是</w:t>
      </w:r>
      <w:r>
        <w:rPr>
          <w:rFonts w:hint="default" w:ascii="Times New Roman" w:hAnsi="Times New Roman" w:eastAsia="仿宋_GB2312" w:cs="Times New Roman"/>
          <w:sz w:val="32"/>
          <w:szCs w:val="32"/>
          <w:lang w:val="en-US" w:eastAsia="zh-CN"/>
        </w:rPr>
        <w:t>抓谋划安排。制定印发了《临猗县委依法治县委员会2021年工作要点》《临猗县2021年度法治政府建设实施方案》《2021年临猗县党政主要负责人履行推进法治建设第一责任人职责工作清单》《2021年市县法治政府建设指标体系（任务分解表）》，明确工作任务，细化工作责任。</w:t>
      </w:r>
      <w:r>
        <w:rPr>
          <w:rFonts w:hint="default" w:ascii="Times New Roman" w:hAnsi="Times New Roman" w:eastAsia="仿宋" w:cs="Times New Roman"/>
          <w:b/>
          <w:bCs/>
          <w:sz w:val="32"/>
          <w:szCs w:val="32"/>
        </w:rPr>
        <w:t>三是</w:t>
      </w:r>
      <w:r>
        <w:rPr>
          <w:rFonts w:hint="default" w:ascii="Times New Roman" w:hAnsi="Times New Roman" w:eastAsia="仿宋_GB2312" w:cs="Times New Roman"/>
          <w:sz w:val="32"/>
          <w:szCs w:val="32"/>
          <w:lang w:val="en-US" w:eastAsia="zh-CN"/>
        </w:rPr>
        <w:t>抓全员覆盖。将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习近平法治思想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、宪法、民法典法律培训学习列入县委党校年度干部教育培训必修课。出台了《临猗县2021年度县级部门普法责任清单》，从学法对象、学法内容、学法方式等方面提出具体要求。</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加强组织领导，专题研究部署。</w:t>
      </w:r>
      <w:r>
        <w:rPr>
          <w:rFonts w:hint="default" w:ascii="Times New Roman" w:hAnsi="Times New Roman" w:eastAsia="仿宋_GB2312" w:cs="Times New Roman"/>
          <w:sz w:val="32"/>
          <w:szCs w:val="32"/>
          <w:lang w:val="en-US" w:eastAsia="zh-CN"/>
        </w:rPr>
        <w:t>坚持党对法治工作的领导，把依法治县、依法执政与依法行政统一起来，全力推动法治政府建设各项任务落实。</w:t>
      </w:r>
      <w:r>
        <w:rPr>
          <w:rFonts w:hint="default" w:ascii="Times New Roman" w:hAnsi="Times New Roman" w:eastAsia="仿宋" w:cs="Times New Roman"/>
          <w:b/>
          <w:bCs/>
          <w:sz w:val="32"/>
          <w:szCs w:val="32"/>
          <w:lang w:eastAsia="zh-CN"/>
        </w:rPr>
        <w:t>一</w:t>
      </w:r>
      <w:r>
        <w:rPr>
          <w:rFonts w:hint="default" w:ascii="Times New Roman" w:hAnsi="Times New Roman" w:eastAsia="仿宋" w:cs="Times New Roman"/>
          <w:b/>
          <w:bCs/>
          <w:sz w:val="32"/>
          <w:szCs w:val="32"/>
        </w:rPr>
        <w:t>是</w:t>
      </w:r>
      <w:r>
        <w:rPr>
          <w:rFonts w:hint="default" w:ascii="Times New Roman" w:hAnsi="Times New Roman" w:eastAsia="仿宋_GB2312" w:cs="Times New Roman"/>
          <w:sz w:val="32"/>
          <w:szCs w:val="32"/>
          <w:lang w:val="en-US" w:eastAsia="zh-CN"/>
        </w:rPr>
        <w:t>强化统筹谋划。县委、县政府</w:t>
      </w:r>
      <w:r>
        <w:rPr>
          <w:rFonts w:hint="eastAsia" w:ascii="Times New Roman" w:hAnsi="Times New Roman" w:eastAsia="仿宋_GB2312" w:cs="Times New Roman"/>
          <w:sz w:val="32"/>
          <w:szCs w:val="32"/>
          <w:lang w:val="en-US" w:eastAsia="zh-CN"/>
        </w:rPr>
        <w:t>主要负责人亲自安排、亲自部署、亲自研究，</w:t>
      </w:r>
      <w:r>
        <w:rPr>
          <w:rFonts w:hint="default" w:ascii="Times New Roman" w:hAnsi="Times New Roman" w:eastAsia="仿宋_GB2312" w:cs="Times New Roman"/>
          <w:sz w:val="32"/>
          <w:szCs w:val="32"/>
          <w:lang w:val="en-US" w:eastAsia="zh-CN"/>
        </w:rPr>
        <w:t>先后多次召开</w:t>
      </w:r>
      <w:r>
        <w:rPr>
          <w:rFonts w:hint="eastAsia" w:ascii="Times New Roman" w:hAnsi="Times New Roman" w:eastAsia="仿宋_GB2312" w:cs="Times New Roman"/>
          <w:sz w:val="32"/>
          <w:szCs w:val="32"/>
          <w:lang w:val="en-US" w:eastAsia="zh-CN"/>
        </w:rPr>
        <w:t>县委</w:t>
      </w:r>
      <w:r>
        <w:rPr>
          <w:rFonts w:hint="default" w:ascii="Times New Roman" w:hAnsi="Times New Roman" w:eastAsia="仿宋_GB2312" w:cs="Times New Roman"/>
          <w:sz w:val="32"/>
          <w:szCs w:val="32"/>
          <w:lang w:val="en-US" w:eastAsia="zh-CN"/>
        </w:rPr>
        <w:t>常委会、</w:t>
      </w:r>
      <w:r>
        <w:rPr>
          <w:rFonts w:hint="eastAsia" w:ascii="Times New Roman" w:hAnsi="Times New Roman" w:eastAsia="仿宋_GB2312" w:cs="Times New Roman"/>
          <w:sz w:val="32"/>
          <w:szCs w:val="32"/>
          <w:lang w:val="en-US" w:eastAsia="zh-CN"/>
        </w:rPr>
        <w:t>县政府</w:t>
      </w:r>
      <w:r>
        <w:rPr>
          <w:rFonts w:hint="default" w:ascii="Times New Roman" w:hAnsi="Times New Roman" w:eastAsia="仿宋_GB2312" w:cs="Times New Roman"/>
          <w:sz w:val="32"/>
          <w:szCs w:val="32"/>
          <w:lang w:val="en-US" w:eastAsia="zh-CN"/>
        </w:rPr>
        <w:t>常务会，</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专题</w:t>
      </w:r>
      <w:r>
        <w:rPr>
          <w:rFonts w:hint="eastAsia" w:ascii="Times New Roman" w:hAnsi="Times New Roman" w:eastAsia="仿宋_GB2312" w:cs="Times New Roman"/>
          <w:sz w:val="32"/>
          <w:szCs w:val="32"/>
          <w:lang w:val="en-US" w:eastAsia="zh-CN"/>
        </w:rPr>
        <w:t>会</w:t>
      </w:r>
      <w:r>
        <w:rPr>
          <w:rFonts w:hint="default" w:ascii="Times New Roman" w:hAnsi="Times New Roman" w:eastAsia="仿宋_GB2312" w:cs="Times New Roman"/>
          <w:sz w:val="32"/>
          <w:szCs w:val="32"/>
          <w:lang w:val="en-US" w:eastAsia="zh-CN"/>
        </w:rPr>
        <w:t>研究部署法治政府建设，听取法治政府建设情况汇报，解决存在问题，夯实了党政主要负责人履行推进法治建设第一责任人职责，把党的领导贯穿到法治政府建设全过程各方面。</w:t>
      </w:r>
      <w:r>
        <w:rPr>
          <w:rFonts w:hint="default" w:ascii="Times New Roman" w:hAnsi="Times New Roman" w:eastAsia="仿宋" w:cs="Times New Roman"/>
          <w:b/>
          <w:bCs/>
          <w:color w:val="auto"/>
          <w:sz w:val="32"/>
          <w:szCs w:val="32"/>
          <w:lang w:eastAsia="zh-CN"/>
        </w:rPr>
        <w:t>二</w:t>
      </w:r>
      <w:r>
        <w:rPr>
          <w:rFonts w:hint="default" w:ascii="Times New Roman" w:hAnsi="Times New Roman" w:eastAsia="仿宋" w:cs="Times New Roman"/>
          <w:b/>
          <w:bCs/>
          <w:color w:val="auto"/>
          <w:sz w:val="32"/>
          <w:szCs w:val="32"/>
        </w:rPr>
        <w:t>是</w:t>
      </w:r>
      <w:r>
        <w:rPr>
          <w:rFonts w:hint="default" w:ascii="Times New Roman" w:hAnsi="Times New Roman" w:eastAsia="仿宋_GB2312" w:cs="Times New Roman"/>
          <w:sz w:val="32"/>
          <w:szCs w:val="32"/>
          <w:lang w:val="en-US" w:eastAsia="zh-CN"/>
        </w:rPr>
        <w:t>健全组织机构。</w:t>
      </w:r>
      <w:r>
        <w:rPr>
          <w:rFonts w:hint="eastAsia" w:ascii="Times New Roman" w:hAnsi="Times New Roman" w:eastAsia="仿宋_GB2312" w:cs="Times New Roman"/>
          <w:sz w:val="32"/>
          <w:szCs w:val="32"/>
          <w:lang w:val="en-US" w:eastAsia="zh-CN"/>
        </w:rPr>
        <w:t>根据依法治县委员会安排，</w:t>
      </w:r>
      <w:r>
        <w:rPr>
          <w:rFonts w:hint="default" w:ascii="Times New Roman" w:hAnsi="Times New Roman" w:eastAsia="仿宋_GB2312" w:cs="Times New Roman"/>
          <w:sz w:val="32"/>
          <w:szCs w:val="32"/>
          <w:lang w:val="en-US" w:eastAsia="zh-CN"/>
        </w:rPr>
        <w:t>依法治县办公室抽调机关骨干力量专门成立了以司法局局长为组长的秘书组，统筹法治政府建设的整体工作。2021年8月12日召开了依法治县委员会第三次会议，9月17日依法治县办公室召开了法治政府建设工作推进会，对法治政府建设工作任务再明确，再安排，再部署。</w:t>
      </w:r>
      <w:r>
        <w:rPr>
          <w:rFonts w:hint="default" w:ascii="Times New Roman" w:hAnsi="Times New Roman" w:eastAsia="仿宋" w:cs="Times New Roman"/>
          <w:b/>
          <w:bCs/>
          <w:color w:val="auto"/>
          <w:sz w:val="32"/>
          <w:szCs w:val="32"/>
          <w:lang w:eastAsia="zh-CN"/>
        </w:rPr>
        <w:t>三</w:t>
      </w:r>
      <w:r>
        <w:rPr>
          <w:rFonts w:hint="default" w:ascii="Times New Roman" w:hAnsi="Times New Roman" w:eastAsia="仿宋" w:cs="Times New Roman"/>
          <w:b/>
          <w:bCs/>
          <w:color w:val="auto"/>
          <w:sz w:val="32"/>
          <w:szCs w:val="32"/>
        </w:rPr>
        <w:t>是</w:t>
      </w:r>
      <w:r>
        <w:rPr>
          <w:rFonts w:hint="default" w:ascii="Times New Roman" w:hAnsi="Times New Roman" w:eastAsia="仿宋_GB2312" w:cs="Times New Roman"/>
          <w:sz w:val="32"/>
          <w:szCs w:val="32"/>
          <w:lang w:val="en-US" w:eastAsia="zh-CN"/>
        </w:rPr>
        <w:t>强化督察考核。县委高度重视法治素养和法治能力的用人导向，县</w:t>
      </w:r>
      <w:r>
        <w:rPr>
          <w:rFonts w:hint="eastAsia" w:ascii="Times New Roman" w:hAnsi="Times New Roman" w:eastAsia="仿宋_GB2312" w:cs="Times New Roman"/>
          <w:sz w:val="32"/>
          <w:szCs w:val="32"/>
          <w:lang w:val="en-US" w:eastAsia="zh-CN"/>
        </w:rPr>
        <w:t>目标责任</w:t>
      </w:r>
      <w:r>
        <w:rPr>
          <w:rFonts w:hint="default" w:ascii="Times New Roman" w:hAnsi="Times New Roman" w:eastAsia="仿宋_GB2312" w:cs="Times New Roman"/>
          <w:sz w:val="32"/>
          <w:szCs w:val="32"/>
          <w:lang w:val="en-US" w:eastAsia="zh-CN"/>
        </w:rPr>
        <w:t>考核中心将党政主要负责人履行推进法治建设第一责任人职责纳入领导干部考核考评指标，把法治建设成效作为衡量各级领导班子和领导干部工作实绩的重要内容，确保各项工作有序开展。2021年11月，依法治县委员会成立督导组，对全县法治政府建设工作开展情况以及党政主要负责人履行推进法治建设第一责任人职责情况进行全面督查，对存在问题，要求限期整改落实。</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highlight w:val="red"/>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全力营造法治化的营商环境。</w:t>
      </w:r>
      <w:r>
        <w:rPr>
          <w:rFonts w:hint="default" w:ascii="Times New Roman" w:hAnsi="Times New Roman" w:eastAsia="仿宋_GB2312" w:cs="Times New Roman"/>
          <w:sz w:val="32"/>
          <w:szCs w:val="32"/>
          <w:lang w:val="en-US" w:eastAsia="zh-CN"/>
        </w:rPr>
        <w:t>为认真贯彻落实中央、省、市优化营商环境指示精神，我县确立了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县委政府定方向、行政审批总牵头、成员单位同推进、示范园区树标杆、纪委监委抓督促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的工作模式。</w:t>
      </w: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sz w:val="32"/>
          <w:szCs w:val="32"/>
          <w:lang w:val="en-US" w:eastAsia="zh-CN"/>
        </w:rPr>
        <w:t>实行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一窗综合受理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。对203项行政许可和59项相关联事项实行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前台综合受理，后台分类审批，统一窗口出件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的运行模式，克服了窗口冷热不均、群众等待时间长及干部微腐败问题的发生。</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sz w:val="32"/>
          <w:szCs w:val="32"/>
          <w:lang w:val="en-US" w:eastAsia="zh-CN"/>
        </w:rPr>
        <w:t>推行视频勘验。与深圳好视通公司合作，建设视频勘验指挥中心，对18项高频事项现场勘验，以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不破法规破常规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的方式进行视频勘验，大大节约了人力、物力、财力成本，实现了30分钟即可领证。</w:t>
      </w: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sz w:val="32"/>
          <w:szCs w:val="32"/>
          <w:lang w:val="en-US" w:eastAsia="zh-CN"/>
        </w:rPr>
        <w:t>编印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成长一本通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。编印《民生服务一本通》和《企业成长一本通》，打造政策全生命周期服务链。</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推行一件事一次办。将老百姓需要办理的一件事集成办理，推进审批模式由</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独唱</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合唱</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，从</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事项办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服务场景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转变。</w:t>
      </w: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梳理出2</w:t>
      </w: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val="en-US" w:eastAsia="zh-CN"/>
        </w:rPr>
        <w:t>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一件事一次办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事项。</w:t>
      </w:r>
      <w:r>
        <w:rPr>
          <w:rFonts w:hint="default" w:ascii="Times New Roman" w:hAnsi="Times New Roman" w:eastAsia="仿宋_GB2312" w:cs="Times New Roman"/>
          <w:b/>
          <w:bCs/>
          <w:sz w:val="32"/>
          <w:szCs w:val="32"/>
          <w:lang w:val="en-US" w:eastAsia="zh-CN"/>
        </w:rPr>
        <w:t>五是</w:t>
      </w:r>
      <w:r>
        <w:rPr>
          <w:rFonts w:hint="default" w:ascii="Times New Roman" w:hAnsi="Times New Roman" w:eastAsia="仿宋_GB2312" w:cs="Times New Roman"/>
          <w:sz w:val="32"/>
          <w:szCs w:val="32"/>
          <w:lang w:val="en-US" w:eastAsia="zh-CN"/>
        </w:rPr>
        <w:t>积极探索公证、律师等服务企业发展的有效路径，更好发挥法律服务在风险防控、争议解决等方面的积极作用。建立企</w:t>
      </w:r>
      <w:r>
        <w:rPr>
          <w:rFonts w:hint="default" w:ascii="Times New Roman" w:hAnsi="Times New Roman" w:eastAsia="仿宋_GB2312" w:cs="Times New Roman"/>
          <w:sz w:val="32"/>
          <w:szCs w:val="32"/>
          <w:highlight w:val="none"/>
          <w:lang w:val="en-US" w:eastAsia="zh-CN"/>
        </w:rPr>
        <w:t>业特殊困难群体法律援助</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绿色通道</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，每季度至少开展一次法律服务进企业活动，营造和谐稳定营商环境。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坚持深化改革，全面提升政府依法履职效能</w:t>
      </w:r>
      <w:r>
        <w:rPr>
          <w:rFonts w:hint="default" w:ascii="Times New Roman" w:hAnsi="Times New Roman" w:eastAsia="楷体" w:cs="Times New Roman"/>
          <w:b w:val="0"/>
          <w:bCs w:val="0"/>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val="0"/>
          <w:bCs w:val="0"/>
          <w:sz w:val="32"/>
          <w:szCs w:val="32"/>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rPr>
        <w:t>深化行政审批制度改革。</w:t>
      </w:r>
      <w:r>
        <w:rPr>
          <w:rFonts w:hint="default" w:ascii="Times New Roman" w:hAnsi="Times New Roman" w:eastAsia="仿宋_GB2312" w:cs="Times New Roman"/>
          <w:sz w:val="32"/>
          <w:szCs w:val="32"/>
          <w:lang w:val="en-US" w:eastAsia="zh-CN"/>
        </w:rPr>
        <w:t>推行政府权力清单，促进政府履职。按照国务院、省、市政府取消调整行政审批事项的相关要求，持续深化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放管服效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改革，梳理完善</w:t>
      </w:r>
      <w:r>
        <w:rPr>
          <w:rFonts w:hint="eastAsia" w:ascii="Times New Roman" w:hAnsi="Times New Roman" w:eastAsia="仿宋_GB2312" w:cs="Times New Roman"/>
          <w:sz w:val="32"/>
          <w:szCs w:val="32"/>
          <w:highlight w:val="none"/>
          <w:lang w:val="en-US" w:eastAsia="zh-CN"/>
        </w:rPr>
        <w:t>“四级</w:t>
      </w:r>
      <w:r>
        <w:rPr>
          <w:rFonts w:hint="default" w:ascii="Times New Roman" w:hAnsi="Times New Roman" w:eastAsia="仿宋_GB2312" w:cs="Times New Roman"/>
          <w:sz w:val="32"/>
          <w:szCs w:val="32"/>
          <w:highlight w:val="none"/>
          <w:lang w:val="en-US" w:eastAsia="zh-CN"/>
        </w:rPr>
        <w:t>四同</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目</w:t>
      </w:r>
      <w:r>
        <w:rPr>
          <w:rFonts w:hint="default" w:ascii="Times New Roman" w:hAnsi="Times New Roman" w:eastAsia="仿宋_GB2312" w:cs="Times New Roman"/>
          <w:sz w:val="32"/>
          <w:szCs w:val="32"/>
          <w:lang w:val="en-US" w:eastAsia="zh-CN"/>
        </w:rPr>
        <w:t>录，对划转事项进行了调整。加快线上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一网办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和线下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只进一扇门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。完成了电子证照梳理，高频事项梳理，移动端APP梳理对接等工作，将平台功能向镇级延伸，实现群众办事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一次认证、全网通行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持续推进简政放权。</w:t>
      </w:r>
      <w:r>
        <w:rPr>
          <w:rFonts w:hint="default" w:ascii="Times New Roman" w:hAnsi="Times New Roman" w:eastAsia="仿宋_GB2312" w:cs="Times New Roman"/>
          <w:sz w:val="32"/>
          <w:szCs w:val="32"/>
          <w:lang w:val="en-US" w:eastAsia="zh-CN"/>
        </w:rPr>
        <w:t>推行政府权力清单制度，对国务院确定的第一批涉企行政审批事项分别按照直接取消审批、审批改为备案、实行告知承诺、优化准入服务等四种方式实施</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证照分离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改革。清理了没有法律法规依据的证明事项，避免对</w:t>
      </w:r>
      <w:r>
        <w:rPr>
          <w:rFonts w:hint="default" w:ascii="Times New Roman" w:hAnsi="Times New Roman" w:eastAsia="仿宋_GB2312" w:cs="Times New Roman"/>
          <w:sz w:val="32"/>
          <w:szCs w:val="32"/>
          <w:highlight w:val="none"/>
          <w:lang w:val="en-US" w:eastAsia="zh-CN"/>
        </w:rPr>
        <w:t>市场活动的过度干预。同时，对保留的证明事项逐步实行清单式管理，确保清单之外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无证明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。共梳理出涉及1</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家单位的证明事项</w:t>
      </w:r>
      <w:r>
        <w:rPr>
          <w:rFonts w:hint="eastAsia" w:ascii="Times New Roman" w:hAnsi="Times New Roman" w:eastAsia="仿宋_GB2312" w:cs="Times New Roman"/>
          <w:sz w:val="32"/>
          <w:szCs w:val="32"/>
          <w:highlight w:val="none"/>
          <w:lang w:val="en-US" w:eastAsia="zh-CN"/>
        </w:rPr>
        <w:t>96</w:t>
      </w:r>
      <w:r>
        <w:rPr>
          <w:rFonts w:hint="default" w:ascii="Times New Roman" w:hAnsi="Times New Roman" w:eastAsia="仿宋_GB2312" w:cs="Times New Roman"/>
          <w:sz w:val="32"/>
          <w:szCs w:val="32"/>
          <w:highlight w:val="none"/>
          <w:lang w:val="en-US" w:eastAsia="zh-CN"/>
        </w:rPr>
        <w:t>项，已完成</w:t>
      </w:r>
      <w:r>
        <w:rPr>
          <w:rFonts w:hint="eastAsia" w:ascii="Times New Roman" w:hAnsi="Times New Roman" w:eastAsia="仿宋_GB2312" w:cs="Times New Roman"/>
          <w:sz w:val="32"/>
          <w:szCs w:val="32"/>
          <w:highlight w:val="none"/>
          <w:lang w:val="en-US" w:eastAsia="zh-CN"/>
        </w:rPr>
        <w:t>59</w:t>
      </w:r>
      <w:r>
        <w:rPr>
          <w:rFonts w:hint="default" w:ascii="Times New Roman" w:hAnsi="Times New Roman" w:eastAsia="仿宋_GB2312" w:cs="Times New Roman"/>
          <w:sz w:val="32"/>
          <w:szCs w:val="32"/>
          <w:highlight w:val="none"/>
          <w:lang w:val="en-US" w:eastAsia="zh-CN"/>
        </w:rPr>
        <w:t>项证明事项告知承诺制清单流程图、办事指南及承诺书的编制工作，并向社会公布。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优化公共服务。</w:t>
      </w:r>
      <w:r>
        <w:rPr>
          <w:rFonts w:hint="default" w:ascii="Times New Roman" w:hAnsi="Times New Roman" w:eastAsia="仿宋_GB2312" w:cs="Times New Roman"/>
          <w:sz w:val="32"/>
          <w:szCs w:val="32"/>
          <w:lang w:val="en-US" w:eastAsia="zh-CN"/>
        </w:rPr>
        <w:t>14个乡镇和272个行政村都按照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九有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标准建设了乡、村便民服务站点，并明确每个乡镇必须建设两个示范点。每个乡镇都确定了6-8名固定工作人员，设立了3-5个无差别综合受理窗口，委托下放了个体工商户登记等三项事项，北景乡综合便民服务中心接受了省编办的检查验收。实行政务服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好差评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2021年县政务大厅共受理公共服务事项49705件，行政审批事项28379件。通过一体化政务服务平台、评价器、二维码、《满意度评价表》《群众满意度调查表》积极收集企业群众意见及建议，确保各类事项参评率达到100%。受理窗口评价器对服务人员态度等共评价12331件，满意等次以上的评价12316件，满意率为99.87%。按照县政务大厅6名，每个乡镇2名，每个村1名的标准配齐帮办代办队伍，为服务对象提供周到暖心的服务。持续优化公共法律服务，将公共法律服务向基层延伸，助推乡村振兴，做实乡（镇）、村（社区）公共法律服务，满足基层群众法律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_GB2312" w:cs="Times New Roman"/>
          <w:b/>
          <w:bCs/>
          <w:sz w:val="32"/>
          <w:szCs w:val="32"/>
          <w:lang w:val="en-US" w:eastAsia="zh-CN"/>
        </w:rPr>
        <w:t>4</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加强行政规范性文件监督管理。</w:t>
      </w:r>
      <w:r>
        <w:rPr>
          <w:rFonts w:hint="default" w:ascii="Times New Roman" w:hAnsi="Times New Roman" w:eastAsia="仿宋_GB2312" w:cs="Times New Roman"/>
          <w:sz w:val="32"/>
          <w:szCs w:val="32"/>
          <w:lang w:val="en-US" w:eastAsia="zh-CN"/>
        </w:rPr>
        <w:t>严格按照《山西省规范性文件监督管理办法》规定，扎实开展行政规范性文件合法性审查，全年共审核以县政府或政府办名义制发的规范性文件18件。对2016年至2021年5月底前出台的现行有效的规范性文件，涉及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放管服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、生态文明建设和环境保护、营商环境的到期规范性文件进行了集中清理。共废止3件、</w:t>
      </w:r>
      <w:r>
        <w:rPr>
          <w:rFonts w:hint="default" w:ascii="Times New Roman" w:hAnsi="Times New Roman" w:eastAsia="仿宋_GB2312" w:cs="Times New Roman"/>
          <w:sz w:val="32"/>
          <w:szCs w:val="32"/>
          <w:highlight w:val="none"/>
          <w:lang w:val="en-US" w:eastAsia="zh-CN"/>
        </w:rPr>
        <w:t>继续执行24件并向社会公开，有效维护了国家法制统一和政</w:t>
      </w:r>
      <w:r>
        <w:rPr>
          <w:rFonts w:hint="default" w:ascii="Times New Roman" w:hAnsi="Times New Roman" w:eastAsia="仿宋_GB2312" w:cs="Times New Roman"/>
          <w:sz w:val="32"/>
          <w:szCs w:val="32"/>
          <w:lang w:val="en-US" w:eastAsia="zh-CN"/>
        </w:rPr>
        <w:t>令畅通。所有规范性文件县人大都进行了备案审查。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（三）完善决策机制，健全政府依法行政制度体系</w:t>
      </w:r>
      <w:r>
        <w:rPr>
          <w:rFonts w:hint="eastAsia" w:ascii="楷体_GB2312" w:hAnsi="楷体_GB2312" w:eastAsia="楷体_GB2312" w:cs="楷体_GB2312"/>
          <w:b w:val="0"/>
          <w:bCs w:val="0"/>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完善行政决策机制。</w:t>
      </w:r>
      <w:r>
        <w:rPr>
          <w:rFonts w:hint="default" w:ascii="Times New Roman" w:hAnsi="Times New Roman" w:eastAsia="仿宋_GB2312" w:cs="Times New Roman"/>
          <w:sz w:val="32"/>
          <w:szCs w:val="32"/>
          <w:lang w:val="en-US" w:eastAsia="zh-CN"/>
        </w:rPr>
        <w:t>完善县委、县政府决策制度，规范决策程序。严格执行国务院《重大行政决策程序暂行条例》规定，把公众参与、专家论证、风险评估、合法性审核、集体讨论决定确定为重大行政决策法定程序，凡涉及全县经济社会发展的重大决策，必须经风险评估、合法性审核后报县委常委会、县长办公会、县政府常务会议集体讨论决定。</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广泛征求意见。</w:t>
      </w:r>
      <w:r>
        <w:rPr>
          <w:rFonts w:hint="default" w:ascii="Times New Roman" w:hAnsi="Times New Roman" w:eastAsia="仿宋_GB2312" w:cs="Times New Roman"/>
          <w:sz w:val="32"/>
          <w:szCs w:val="32"/>
          <w:lang w:val="en-US" w:eastAsia="zh-CN"/>
        </w:rPr>
        <w:t>与群众利益密切相关的重大决策事项实行公示、举行听证会;对涉及全县经济社会发展的重大事项，坚持邀请人大代表、政协委员列席政府常务会议，充分听取和吸收代表、委员的意见和建议，广泛征询意见。确保决策制度科学，程序合法，过程公开，责任明确。</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val="0"/>
          <w:bCs w:val="0"/>
          <w:sz w:val="32"/>
          <w:szCs w:val="32"/>
          <w:lang w:val="en-US"/>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坚持落实法律顾问制度。</w:t>
      </w:r>
      <w:r>
        <w:rPr>
          <w:rFonts w:hint="default" w:ascii="Times New Roman" w:hAnsi="Times New Roman" w:eastAsia="仿宋_GB2312" w:cs="Times New Roman"/>
          <w:sz w:val="32"/>
          <w:szCs w:val="32"/>
          <w:lang w:val="en-US" w:eastAsia="zh-CN"/>
        </w:rPr>
        <w:t>推行法律顾问制度和公职律师工作规则等制度，规范法律顾问工作。县政府及各乡镇各部门都聘请了法律顾问，在重大决策、重大合同、重要协议的合法性审查中充分听取法律顾问的意见和建</w:t>
      </w:r>
      <w:r>
        <w:rPr>
          <w:rFonts w:hint="default" w:ascii="Times New Roman" w:hAnsi="Times New Roman" w:eastAsia="仿宋_GB2312" w:cs="Times New Roman"/>
          <w:sz w:val="32"/>
          <w:szCs w:val="32"/>
          <w:highlight w:val="none"/>
          <w:lang w:val="en-US" w:eastAsia="zh-CN"/>
        </w:rPr>
        <w:t>议。2021年全年县政府聘请的4名法律顾问共列席</w:t>
      </w:r>
      <w:r>
        <w:rPr>
          <w:rFonts w:hint="eastAsia" w:ascii="Times New Roman" w:hAnsi="Times New Roman" w:eastAsia="仿宋_GB2312" w:cs="Times New Roman"/>
          <w:sz w:val="32"/>
          <w:szCs w:val="32"/>
          <w:highlight w:val="none"/>
          <w:lang w:val="en-US" w:eastAsia="zh-CN"/>
        </w:rPr>
        <w:t>参加</w:t>
      </w:r>
      <w:r>
        <w:rPr>
          <w:rFonts w:hint="default" w:ascii="Times New Roman" w:hAnsi="Times New Roman" w:eastAsia="仿宋_GB2312" w:cs="Times New Roman"/>
          <w:sz w:val="32"/>
          <w:szCs w:val="32"/>
          <w:highlight w:val="none"/>
          <w:lang w:val="en-US" w:eastAsia="zh-CN"/>
        </w:rPr>
        <w:t>政府常务会</w:t>
      </w:r>
      <w:r>
        <w:rPr>
          <w:rFonts w:hint="eastAsia" w:ascii="Times New Roman" w:hAnsi="Times New Roman" w:eastAsia="仿宋_GB2312" w:cs="Times New Roman"/>
          <w:sz w:val="32"/>
          <w:szCs w:val="32"/>
          <w:highlight w:val="none"/>
          <w:lang w:val="en-US" w:eastAsia="zh-CN"/>
        </w:rPr>
        <w:t>和政府专题会10余</w:t>
      </w:r>
      <w:r>
        <w:rPr>
          <w:rFonts w:hint="default" w:ascii="Times New Roman" w:hAnsi="Times New Roman" w:eastAsia="仿宋_GB2312" w:cs="Times New Roman"/>
          <w:sz w:val="32"/>
          <w:szCs w:val="32"/>
          <w:highlight w:val="none"/>
          <w:lang w:val="en-US" w:eastAsia="zh-CN"/>
        </w:rPr>
        <w:t>次，参与化解信访及突发事件等</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次，解答咨询10余次，审核招商引资和重大建设项目，出具法律建议书17份。</w:t>
      </w:r>
      <w:r>
        <w:rPr>
          <w:rFonts w:hint="eastAsia" w:ascii="Times New Roman" w:hAnsi="Times New Roman" w:eastAsia="仿宋_GB2312" w:cs="Times New Roman"/>
          <w:sz w:val="32"/>
          <w:szCs w:val="32"/>
          <w:highlight w:val="none"/>
          <w:lang w:val="en-US" w:eastAsia="zh-CN"/>
        </w:rPr>
        <w:t>代理行政应诉案件54件（一审、二审），参与行政复议案件2件8人次。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sz w:val="32"/>
          <w:szCs w:val="32"/>
          <w:lang w:eastAsia="zh-CN"/>
        </w:rPr>
      </w:pPr>
      <w:r>
        <w:rPr>
          <w:rFonts w:hint="eastAsia" w:ascii="楷体_GB2312" w:hAnsi="楷体_GB2312" w:eastAsia="楷体_GB2312" w:cs="楷体_GB2312"/>
          <w:b w:val="0"/>
          <w:bCs w:val="0"/>
          <w:sz w:val="32"/>
          <w:szCs w:val="32"/>
          <w:lang w:eastAsia="zh-CN"/>
        </w:rPr>
        <w:t>（四）规范公正文明执法，提高行政执法效能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highlight w:val="none"/>
          <w:lang w:val="en-US" w:eastAsia="zh-CN"/>
        </w:rPr>
        <w:t>1</w:t>
      </w:r>
      <w:r>
        <w:rPr>
          <w:rFonts w:hint="eastAsia"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b/>
          <w:bCs/>
          <w:sz w:val="32"/>
          <w:szCs w:val="32"/>
          <w:highlight w:val="none"/>
          <w:lang w:val="en-US" w:eastAsia="zh-CN"/>
        </w:rPr>
        <w:t>深入推进综合行政执法改革。</w:t>
      </w:r>
      <w:r>
        <w:rPr>
          <w:rFonts w:hint="default" w:ascii="Times New Roman" w:hAnsi="Times New Roman" w:eastAsia="仿宋_GB2312" w:cs="Times New Roman"/>
          <w:sz w:val="32"/>
          <w:szCs w:val="32"/>
          <w:lang w:val="en-US" w:eastAsia="zh-CN"/>
        </w:rPr>
        <w:t>有序推进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十大领域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和乡镇综合执法体制改革，实现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一支队伍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规范执法的目标。向各乡镇、各执法单位制定印发了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规定和行政执法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三项制度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明确综合行政执法部门的主要职责，全县14个乡镇均成立综合行政执法办公室，并加挂综合行政执法队牌子，确定了综合行政执法人员。编制并公布综合行政执法事项目录，并依法及时动态调整。提高行政执法透明度，促进严格规范公正文明执法。2021年5月下旬司法局与编办联合开展乡（镇）综合行政执法工作调研指导工作，根据调研，及时指导各乡镇综合行政执法办公室制定各乡镇的相关制度，为乡镇开展综合行政执法奠定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推进行政执法规范化建设。</w:t>
      </w:r>
      <w:r>
        <w:rPr>
          <w:rFonts w:hint="default" w:ascii="Times New Roman" w:hAnsi="Times New Roman" w:eastAsia="仿宋_GB2312" w:cs="Times New Roman"/>
          <w:sz w:val="32"/>
          <w:szCs w:val="32"/>
          <w:lang w:val="en-US" w:eastAsia="zh-CN"/>
        </w:rPr>
        <w:t>严格落实《临猗县行政执法公示办法》《临猗县行政执法全过程记录办法</w:t>
      </w:r>
      <w:r>
        <w:rPr>
          <w:rFonts w:hint="default" w:ascii="Times New Roman" w:hAnsi="Times New Roman" w:eastAsia="仿宋_GB2312" w:cs="Times New Roman"/>
          <w:sz w:val="32"/>
          <w:szCs w:val="32"/>
          <w:highlight w:val="none"/>
          <w:lang w:val="en-US" w:eastAsia="zh-CN"/>
        </w:rPr>
        <w:t>》《临猗县重大行政执法决定法制审核办法》</w:t>
      </w:r>
      <w:r>
        <w:rPr>
          <w:rFonts w:hint="default" w:ascii="Times New Roman" w:hAnsi="Times New Roman" w:eastAsia="仿宋_GB2312" w:cs="Times New Roman"/>
          <w:sz w:val="32"/>
          <w:szCs w:val="32"/>
          <w:lang w:val="en-US" w:eastAsia="zh-CN"/>
        </w:rPr>
        <w:t>等工作机制，严格执行行政执法人员持证上岗和资格管理制度。为规范行政执法裁量权，促进行政机关依法行政，约束行政机关及其执法人员的行为，2021年4月25日组织各乡镇人民政府及县直各行政执法机关学习贯彻落实《山西省规范行政执法裁量权办法》。6月4日召开乡镇执法人员证件办理推进会，完成各乡（镇）执法人员证件办理。10月27日组织开展本年度第二次行政执法人员公共法律考试，11月26日组织全县行政执法人员业务知识培训暨颁发行政执法证仪式。12月下旬，组织开展行政执法单位执法案卷评查活动，并审阅各单位行政执法年度报告。组织全县行政执法人员参加了省司法厅举办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行政执法大讲堂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培训活动，全县750余人次参加了线上培训学习。通过落实行政执法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三项制度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、加强学习培训、加强执法监督等举措，提高了行政执法效能和规范化水平，推进严格规范公正文明执法。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研究探索跨领域综合执法协调联动工作机制，协调指导行政执法检查</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综合一次查</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highlight w:val="none"/>
          <w:lang w:val="en-US" w:eastAsia="zh-CN"/>
        </w:rPr>
        <w:t>借</w:t>
      </w:r>
      <w:r>
        <w:rPr>
          <w:rFonts w:hint="default" w:ascii="Times New Roman" w:hAnsi="Times New Roman" w:eastAsia="仿宋_GB2312" w:cs="Times New Roman"/>
          <w:sz w:val="32"/>
          <w:szCs w:val="32"/>
          <w:lang w:val="en-US" w:eastAsia="zh-CN"/>
        </w:rPr>
        <w:t>鉴外省在跨部门、跨领域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综合一次查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联合执法检查的经验作法，结合临猗实际，研究探索适合我县跨部门、跨领域综合行政执法协调联动工作机制。2021年9月8日组织九大领域综合行政执法队队长和执法骨干开展跨领域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综合一次查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联合执法检查研讨会，及时解决工作中遇到的难题。会后我县司法局起草了《关于开展跨部门、跨领域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综合一次查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联合执法检查工作实施方案（试行）（征求意见稿）》，向现代农业产业示范区、各乡镇人民政府，县直各行政执法单位广泛征求意见，下一步将以政府办名义发文，全面实行。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坚持多措并举，依法有效化解社会矛盾纠纷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加强和创新社会治理</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进一步健全县、乡、村三级社会矛盾纠纷调处化解中心运行机制。</w:t>
      </w:r>
      <w:r>
        <w:rPr>
          <w:rFonts w:hint="default" w:ascii="Times New Roman" w:hAnsi="Times New Roman" w:eastAsia="仿宋_GB2312" w:cs="Times New Roman"/>
          <w:sz w:val="32"/>
          <w:szCs w:val="32"/>
          <w:lang w:val="en-US" w:eastAsia="zh-CN"/>
        </w:rPr>
        <w:t>完善人民调解、行政调解、司法调解联动工作体系，做到了矛盾纠纷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一站式受理、一条龙化解、全链条解决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形成具有临猗特色的矛盾纠纷多元预防调处化解综合机制。目前，全县设立县、乡、村三级矛调中心，其中县级1个，乡镇14个，村级（社区）284个；行业性专业性调委会5个；个人品牌调解室8个；在法院、市场监管局、发改局、信访局设立人民调解工作室各1个。全县</w:t>
      </w:r>
      <w:r>
        <w:rPr>
          <w:rFonts w:hint="default" w:ascii="Times New Roman" w:hAnsi="Times New Roman" w:eastAsia="仿宋_GB2312" w:cs="Times New Roman"/>
          <w:sz w:val="32"/>
          <w:szCs w:val="32"/>
          <w:highlight w:val="none"/>
          <w:lang w:val="en-US" w:eastAsia="zh-CN"/>
        </w:rPr>
        <w:t>共有专兼职人民调解员</w:t>
      </w:r>
      <w:r>
        <w:rPr>
          <w:rFonts w:hint="default" w:ascii="Times New Roman" w:hAnsi="Times New Roman" w:eastAsia="仿宋_GB2312" w:cs="Times New Roman"/>
          <w:sz w:val="32"/>
          <w:szCs w:val="32"/>
          <w:lang w:val="en-US" w:eastAsia="zh-CN"/>
        </w:rPr>
        <w:t>910名，其中专职调解员37名。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.开展人民调解“五大活动”。</w:t>
      </w:r>
      <w:r>
        <w:rPr>
          <w:rFonts w:hint="default" w:ascii="Times New Roman" w:hAnsi="Times New Roman" w:eastAsia="仿宋_GB2312" w:cs="Times New Roman"/>
          <w:b w:val="0"/>
          <w:bCs w:val="0"/>
          <w:sz w:val="32"/>
          <w:szCs w:val="32"/>
          <w:lang w:val="en-US" w:eastAsia="zh-CN"/>
        </w:rPr>
        <w:t>在全县开展矛盾纠纷大排查大调处、调解队伍大培训大练兵、调解故事大讲述大宣传、调解案卷大评查大提升、先进典型大培育大选树</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五大活动</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sz w:val="32"/>
          <w:szCs w:val="32"/>
          <w:lang w:val="en-US" w:eastAsia="zh-CN"/>
        </w:rPr>
        <w:t>组建了优秀人民调解员专家库，实行月例会工作制度，每月开展一次重点案例点评、</w:t>
      </w:r>
      <w:r>
        <w:rPr>
          <w:rFonts w:hint="eastAsia" w:ascii="Times New Roman" w:hAnsi="Times New Roman" w:eastAsia="仿宋_GB2312" w:cs="Times New Roman"/>
          <w:sz w:val="32"/>
          <w:szCs w:val="32"/>
          <w:lang w:val="en-US" w:eastAsia="zh-CN"/>
        </w:rPr>
        <w:t>案例</w:t>
      </w:r>
      <w:r>
        <w:rPr>
          <w:rFonts w:hint="default" w:ascii="Times New Roman" w:hAnsi="Times New Roman" w:eastAsia="仿宋_GB2312" w:cs="Times New Roman"/>
          <w:sz w:val="32"/>
          <w:szCs w:val="32"/>
          <w:lang w:val="en-US" w:eastAsia="zh-CN"/>
        </w:rPr>
        <w:t>分析。为了使广大调解员学有平台，安排县乡矛调中心专职调解员分批次到嵋阳先进所跟班轮训，交流经验，进一步提高适应新时期人民调解的工作能力。同时完成了省人民调解员平台构建，县、乡、村人民调解员全部纳入培训平台。</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扎实开展</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调解七进</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专项活动。</w:t>
      </w:r>
      <w:r>
        <w:rPr>
          <w:rFonts w:hint="default" w:ascii="Times New Roman" w:hAnsi="Times New Roman" w:eastAsia="仿宋_GB2312" w:cs="Times New Roman"/>
          <w:sz w:val="32"/>
          <w:szCs w:val="32"/>
          <w:lang w:val="en-US" w:eastAsia="zh-CN"/>
        </w:rPr>
        <w:t>2021年5月24日召开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调解七进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动员部署会，组织司法行政工作人员和广大调解员开展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调解七进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活动。即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进网格</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进物业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，重点排查化解婚姻邻里纠纷；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进连锁企业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进综超市场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，重点排查化解与百姓生活密切相关的生产消费领域纠纷；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进法庭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进派出所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进信访大厅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，重点协助排查化解矛盾集中领域纠纷。同时在</w:t>
      </w:r>
      <w:r>
        <w:rPr>
          <w:rFonts w:hint="eastAsia" w:ascii="Times New Roman" w:hAnsi="Times New Roman" w:eastAsia="仿宋_GB2312" w:cs="Times New Roman"/>
          <w:sz w:val="32"/>
          <w:szCs w:val="32"/>
          <w:lang w:val="en-US" w:eastAsia="zh-CN"/>
        </w:rPr>
        <w:t>司法行政</w:t>
      </w:r>
      <w:r>
        <w:rPr>
          <w:rFonts w:hint="default" w:ascii="Times New Roman" w:hAnsi="Times New Roman" w:eastAsia="仿宋_GB2312" w:cs="Times New Roman"/>
          <w:sz w:val="32"/>
          <w:szCs w:val="32"/>
          <w:lang w:val="en-US" w:eastAsia="zh-CN"/>
        </w:rPr>
        <w:t>系统组织开展的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关爱郇阳普法行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主题实践活动中，利用集会日深入乡村、商户，通过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敲门送法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为广大群众一对一提供法律问题</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义诊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；发放专职调解员名片，公布联系方式，在连锁企业、综超市场等悬挂调解联系方式，让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有纠纷找调解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深入人心。通过丰富多彩的活动，实现矛盾纠纷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抓早抓小，控新治旧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，逐步形成以人民调解为基础的大调解工作格局，奋力推动我县县、乡、村矛调中心工作规范高效运行。2021年三级矛调中心共受理矛盾纠纷2000余件，化解率98%以上。</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（六）持续推进</w:t>
      </w: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谁执法、谁普法</w:t>
      </w: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lang w:val="en-US" w:eastAsia="zh-CN"/>
        </w:rPr>
        <w:t>责任制，增强全民法制观念</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强化部门普法工作责任。</w:t>
      </w:r>
      <w:r>
        <w:rPr>
          <w:rFonts w:hint="default" w:ascii="Times New Roman" w:hAnsi="Times New Roman" w:eastAsia="仿宋_GB2312" w:cs="Times New Roman"/>
          <w:sz w:val="32"/>
          <w:szCs w:val="32"/>
          <w:lang w:val="en-US" w:eastAsia="zh-CN"/>
        </w:rPr>
        <w:t>制定并启动《临猗县法治宣传教育第八个五年规划（2021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2025年）》，全面落实</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谁执法谁普法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责任制，健全完善党委统一领导、部门分工负责，齐抓共管的大普法工作机制。向全县下发了《2021年度县级部门普法责任清单》，将普法责任清单的制定和落实情况纳入对各单位法治建设工作考核内容。通过县电视台《法在身边》栏目开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以案释法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活动，各司法、执法、法律服务单位按照年度安排分批进行典型案例解读，2021年完成制作《法在身边》栏目11期。</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组织开展千人</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法律明白人</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培训。</w:t>
      </w:r>
      <w:r>
        <w:rPr>
          <w:rFonts w:hint="default" w:ascii="Times New Roman" w:hAnsi="Times New Roman" w:eastAsia="仿宋_GB2312" w:cs="Times New Roman"/>
          <w:sz w:val="32"/>
          <w:szCs w:val="32"/>
          <w:lang w:val="en-US" w:eastAsia="zh-CN"/>
        </w:rPr>
        <w:t>2021年7月份开始在全县组织千人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法律明白人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培训会，通过集中培训，分批次培训，全县14个乡镇千余人法律明白人年度培训任务全部完成。为法律明白人积极履行好政策宣讲、法治宣传、村情民意传达、矛盾纠纷调解、法律服务联系等职责奠定了基础。</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开展</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党员进万家、全民反电诈</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主题活动。</w:t>
      </w:r>
      <w:r>
        <w:rPr>
          <w:rFonts w:hint="default" w:ascii="Times New Roman" w:hAnsi="Times New Roman" w:eastAsia="仿宋_GB2312" w:cs="Times New Roman"/>
          <w:sz w:val="32"/>
          <w:szCs w:val="32"/>
          <w:lang w:val="en-US" w:eastAsia="zh-CN"/>
        </w:rPr>
        <w:t>全县党员干部积极行动，逐村（社区）宣讲防诈骗知识，逐户散发宣传资料、签订承诺书并强调下载国家反诈中心</w:t>
      </w:r>
      <w:r>
        <w:rPr>
          <w:rFonts w:hint="eastAsia" w:ascii="Times New Roman" w:hAnsi="Times New Roman" w:eastAsia="仿宋_GB2312" w:cs="Times New Roman"/>
          <w:sz w:val="32"/>
          <w:szCs w:val="32"/>
          <w:lang w:val="en-US" w:eastAsia="zh-CN"/>
        </w:rPr>
        <w:t>APP</w:t>
      </w:r>
      <w:r>
        <w:rPr>
          <w:rFonts w:hint="default" w:ascii="Times New Roman" w:hAnsi="Times New Roman" w:eastAsia="仿宋_GB2312" w:cs="Times New Roman"/>
          <w:sz w:val="32"/>
          <w:szCs w:val="32"/>
          <w:lang w:val="en-US" w:eastAsia="zh-CN"/>
        </w:rPr>
        <w:t>重要性，增强群众防骗意识，共建全民防诈浓厚氛围。</w:t>
      </w:r>
    </w:p>
    <w:p>
      <w:pPr>
        <w:pStyle w:val="10"/>
        <w:keepNext w:val="0"/>
        <w:keepLines w:val="0"/>
        <w:pageBreakBefore w:val="0"/>
        <w:widowControl w:val="0"/>
        <w:shd w:val="clear" w:color="auto" w:fill="auto"/>
        <w:tabs>
          <w:tab w:val="left" w:pos="1252"/>
        </w:tabs>
        <w:kinsoku/>
        <w:overflowPunct/>
        <w:topLinePunct w:val="0"/>
        <w:autoSpaceDE/>
        <w:autoSpaceDN/>
        <w:bidi w:val="0"/>
        <w:adjustRightInd/>
        <w:snapToGrid/>
        <w:spacing w:before="0" w:after="0" w:line="600" w:lineRule="exact"/>
        <w:ind w:left="0" w:right="0" w:firstLine="640"/>
        <w:jc w:val="both"/>
        <w:textAlignment w:val="auto"/>
        <w:rPr>
          <w:rFonts w:hint="default" w:ascii="Times New Roman" w:hAnsi="Times New Roman" w:eastAsia="仿宋_GB2312" w:cs="Times New Roman"/>
          <w:kern w:val="2"/>
          <w:sz w:val="32"/>
          <w:szCs w:val="32"/>
          <w:u w:val="none"/>
          <w:shd w:val="clear"/>
          <w:lang w:val="en-US" w:eastAsia="zh-CN" w:bidi="ar-SA"/>
        </w:rPr>
      </w:pPr>
      <w:r>
        <w:rPr>
          <w:rFonts w:hint="default" w:ascii="Times New Roman" w:hAnsi="Times New Roman" w:eastAsia="仿宋_GB2312" w:cs="Times New Roman"/>
          <w:b/>
          <w:bCs/>
          <w:kern w:val="2"/>
          <w:sz w:val="32"/>
          <w:szCs w:val="32"/>
          <w:u w:val="none"/>
          <w:shd w:val="clear"/>
          <w:lang w:val="en-US" w:eastAsia="zh-CN" w:bidi="ar-SA"/>
        </w:rPr>
        <w:t>4</w:t>
      </w:r>
      <w:r>
        <w:rPr>
          <w:rFonts w:hint="eastAsia" w:ascii="Times New Roman" w:hAnsi="Times New Roman" w:eastAsia="仿宋_GB2312" w:cs="Times New Roman"/>
          <w:b/>
          <w:bCs/>
          <w:kern w:val="2"/>
          <w:sz w:val="32"/>
          <w:szCs w:val="32"/>
          <w:u w:val="none"/>
          <w:shd w:val="clear"/>
          <w:lang w:val="en-US" w:eastAsia="zh-CN" w:bidi="ar-SA"/>
        </w:rPr>
        <w:t>.</w:t>
      </w:r>
      <w:r>
        <w:rPr>
          <w:rFonts w:hint="default" w:ascii="Times New Roman" w:hAnsi="Times New Roman" w:eastAsia="仿宋_GB2312" w:cs="Times New Roman"/>
          <w:b/>
          <w:bCs/>
          <w:kern w:val="2"/>
          <w:sz w:val="32"/>
          <w:szCs w:val="32"/>
          <w:u w:val="none"/>
          <w:shd w:val="clear"/>
          <w:lang w:val="en-US" w:eastAsia="zh-CN" w:bidi="ar-SA"/>
        </w:rPr>
        <w:t>夯实法治宣传教育阵地。</w:t>
      </w:r>
      <w:r>
        <w:rPr>
          <w:rFonts w:hint="default" w:ascii="Times New Roman" w:hAnsi="Times New Roman" w:eastAsia="仿宋_GB2312" w:cs="Times New Roman"/>
          <w:kern w:val="2"/>
          <w:sz w:val="32"/>
          <w:szCs w:val="32"/>
          <w:u w:val="none"/>
          <w:shd w:val="clear"/>
          <w:lang w:val="en-US" w:eastAsia="zh-CN" w:bidi="ar-SA"/>
        </w:rPr>
        <w:t>2021年完成对县城法治文化公园的提档升级建设，11月被省司法厅评为省级法</w:t>
      </w:r>
      <w:r>
        <w:rPr>
          <w:rFonts w:hint="eastAsia" w:ascii="Times New Roman" w:hAnsi="Times New Roman" w:eastAsia="仿宋_GB2312" w:cs="Times New Roman"/>
          <w:kern w:val="2"/>
          <w:sz w:val="32"/>
          <w:szCs w:val="32"/>
          <w:u w:val="none"/>
          <w:shd w:val="clear"/>
          <w:lang w:val="en-US" w:eastAsia="zh-CN" w:bidi="ar-SA"/>
        </w:rPr>
        <w:t>治</w:t>
      </w:r>
      <w:r>
        <w:rPr>
          <w:rFonts w:hint="default" w:ascii="Times New Roman" w:hAnsi="Times New Roman" w:eastAsia="仿宋_GB2312" w:cs="Times New Roman"/>
          <w:kern w:val="2"/>
          <w:sz w:val="32"/>
          <w:szCs w:val="32"/>
          <w:u w:val="none"/>
          <w:shd w:val="clear"/>
          <w:lang w:val="en-US" w:eastAsia="zh-CN" w:bidi="ar-SA"/>
        </w:rPr>
        <w:t>宣传教育基地。在法治公园建成宪法宣誓广场，在2021年的</w:t>
      </w:r>
      <w:r>
        <w:rPr>
          <w:rFonts w:hint="eastAsia" w:ascii="Times New Roman" w:hAnsi="Times New Roman" w:eastAsia="仿宋_GB2312" w:cs="Times New Roman"/>
          <w:kern w:val="2"/>
          <w:sz w:val="32"/>
          <w:szCs w:val="32"/>
          <w:u w:val="none"/>
          <w:shd w:val="clear"/>
          <w:lang w:val="en-US" w:eastAsia="zh-CN" w:bidi="ar-SA"/>
        </w:rPr>
        <w:t>“</w:t>
      </w:r>
      <w:r>
        <w:rPr>
          <w:rFonts w:hint="default" w:ascii="Times New Roman" w:hAnsi="Times New Roman" w:eastAsia="仿宋_GB2312" w:cs="Times New Roman"/>
          <w:kern w:val="2"/>
          <w:sz w:val="32"/>
          <w:szCs w:val="32"/>
          <w:u w:val="none"/>
          <w:shd w:val="clear"/>
          <w:lang w:val="en-US" w:eastAsia="zh-CN" w:bidi="ar-SA"/>
        </w:rPr>
        <w:t>12</w:t>
      </w:r>
      <w:r>
        <w:rPr>
          <w:rFonts w:hint="eastAsia" w:ascii="仿宋_GB2312" w:hAnsi="仿宋_GB2312" w:eastAsia="仿宋_GB2312" w:cs="仿宋_GB2312"/>
          <w:kern w:val="2"/>
          <w:sz w:val="32"/>
          <w:szCs w:val="32"/>
          <w:u w:val="none"/>
          <w:shd w:val="clear"/>
          <w:lang w:val="en-US" w:eastAsia="zh-CN" w:bidi="ar-SA"/>
        </w:rPr>
        <w:t>·</w:t>
      </w:r>
      <w:r>
        <w:rPr>
          <w:rFonts w:hint="default" w:ascii="Times New Roman" w:hAnsi="Times New Roman" w:eastAsia="仿宋_GB2312" w:cs="Times New Roman"/>
          <w:kern w:val="2"/>
          <w:sz w:val="32"/>
          <w:szCs w:val="32"/>
          <w:u w:val="none"/>
          <w:shd w:val="clear"/>
          <w:lang w:val="en-US" w:eastAsia="zh-CN" w:bidi="ar-SA"/>
        </w:rPr>
        <w:t>4</w:t>
      </w:r>
      <w:r>
        <w:rPr>
          <w:rFonts w:hint="eastAsia" w:ascii="Times New Roman" w:hAnsi="Times New Roman" w:eastAsia="仿宋_GB2312" w:cs="Times New Roman"/>
          <w:kern w:val="2"/>
          <w:sz w:val="32"/>
          <w:szCs w:val="32"/>
          <w:u w:val="none"/>
          <w:shd w:val="clear"/>
          <w:lang w:val="en-US" w:eastAsia="zh-CN" w:bidi="ar-SA"/>
        </w:rPr>
        <w:t>”</w:t>
      </w:r>
      <w:r>
        <w:rPr>
          <w:rFonts w:hint="default" w:ascii="Times New Roman" w:hAnsi="Times New Roman" w:eastAsia="仿宋_GB2312" w:cs="Times New Roman"/>
          <w:kern w:val="2"/>
          <w:sz w:val="32"/>
          <w:szCs w:val="32"/>
          <w:u w:val="none"/>
          <w:shd w:val="clear"/>
          <w:lang w:val="en-US" w:eastAsia="zh-CN" w:bidi="ar-SA"/>
        </w:rPr>
        <w:t>首次组织国家宪法宣传日集中宣誓活动。在乡镇重点围绕沿黄线路打造民主法治示范村，建设完成法治文化长廊、民法典巷道、法</w:t>
      </w:r>
      <w:r>
        <w:rPr>
          <w:rFonts w:hint="eastAsia" w:ascii="Times New Roman" w:hAnsi="Times New Roman" w:eastAsia="仿宋_GB2312" w:cs="Times New Roman"/>
          <w:kern w:val="2"/>
          <w:sz w:val="32"/>
          <w:szCs w:val="32"/>
          <w:u w:val="none"/>
          <w:shd w:val="clear"/>
          <w:lang w:val="en-US" w:eastAsia="zh-CN" w:bidi="ar-SA"/>
        </w:rPr>
        <w:t>治</w:t>
      </w:r>
      <w:r>
        <w:rPr>
          <w:rFonts w:hint="default" w:ascii="Times New Roman" w:hAnsi="Times New Roman" w:eastAsia="仿宋_GB2312" w:cs="Times New Roman"/>
          <w:kern w:val="2"/>
          <w:sz w:val="32"/>
          <w:szCs w:val="32"/>
          <w:u w:val="none"/>
          <w:shd w:val="clear"/>
          <w:lang w:val="en-US" w:eastAsia="zh-CN" w:bidi="ar-SA"/>
        </w:rPr>
        <w:t>小游园等乡村景观，夯实了乡村法治教育阵地。在校园结合社会上发生的青少年参与网络犯罪、校园欺凌等热点话题，开展以</w:t>
      </w:r>
      <w:r>
        <w:rPr>
          <w:rFonts w:hint="eastAsia" w:ascii="Times New Roman" w:hAnsi="Times New Roman" w:eastAsia="仿宋_GB2312" w:cs="Times New Roman"/>
          <w:kern w:val="2"/>
          <w:sz w:val="32"/>
          <w:szCs w:val="32"/>
          <w:u w:val="none"/>
          <w:shd w:val="clear"/>
          <w:lang w:val="en-US" w:eastAsia="zh-CN" w:bidi="ar-SA"/>
        </w:rPr>
        <w:t>“</w:t>
      </w:r>
      <w:r>
        <w:rPr>
          <w:rFonts w:hint="default" w:ascii="Times New Roman" w:hAnsi="Times New Roman" w:eastAsia="仿宋_GB2312" w:cs="Times New Roman"/>
          <w:kern w:val="2"/>
          <w:sz w:val="32"/>
          <w:szCs w:val="32"/>
          <w:u w:val="none"/>
          <w:shd w:val="clear"/>
          <w:lang w:val="en-US" w:eastAsia="zh-CN" w:bidi="ar-SA"/>
        </w:rPr>
        <w:t>普法进校园、法制护成长</w:t>
      </w:r>
      <w:r>
        <w:rPr>
          <w:rFonts w:hint="eastAsia" w:ascii="Times New Roman" w:hAnsi="Times New Roman" w:eastAsia="仿宋_GB2312" w:cs="Times New Roman"/>
          <w:kern w:val="2"/>
          <w:sz w:val="32"/>
          <w:szCs w:val="32"/>
          <w:u w:val="none"/>
          <w:shd w:val="clear"/>
          <w:lang w:val="en-US" w:eastAsia="zh-CN" w:bidi="ar-SA"/>
        </w:rPr>
        <w:t>”</w:t>
      </w:r>
      <w:r>
        <w:rPr>
          <w:rFonts w:hint="default" w:ascii="Times New Roman" w:hAnsi="Times New Roman" w:eastAsia="仿宋_GB2312" w:cs="Times New Roman"/>
          <w:kern w:val="2"/>
          <w:sz w:val="32"/>
          <w:szCs w:val="32"/>
          <w:u w:val="none"/>
          <w:shd w:val="clear"/>
          <w:lang w:val="en-US" w:eastAsia="zh-CN" w:bidi="ar-SA"/>
        </w:rPr>
        <w:t>为主题的系列宣传活动，2021年9月在临猗东康学校创建法治教育基地并挂牌。</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 w:val="0"/>
          <w:bCs w:val="0"/>
          <w:sz w:val="32"/>
          <w:szCs w:val="32"/>
        </w:rPr>
      </w:pPr>
      <w:r>
        <w:rPr>
          <w:rFonts w:hint="eastAsia" w:ascii="楷体_GB2312" w:hAnsi="楷体_GB2312" w:eastAsia="楷体_GB2312" w:cs="楷体_GB2312"/>
          <w:b w:val="0"/>
          <w:bCs w:val="0"/>
          <w:sz w:val="32"/>
          <w:szCs w:val="32"/>
          <w:lang w:eastAsia="zh-CN"/>
        </w:rPr>
        <w:t>（七）</w:t>
      </w:r>
      <w:r>
        <w:rPr>
          <w:rFonts w:hint="eastAsia" w:ascii="楷体_GB2312" w:hAnsi="楷体_GB2312" w:eastAsia="楷体_GB2312" w:cs="楷体_GB2312"/>
          <w:b w:val="0"/>
          <w:bCs w:val="0"/>
          <w:sz w:val="32"/>
          <w:szCs w:val="32"/>
        </w:rPr>
        <w:t>强化对行政权力制约监督，权力运行进一步规范</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自觉接受人大和政协监督。</w:t>
      </w:r>
      <w:r>
        <w:rPr>
          <w:rFonts w:hint="default" w:ascii="Times New Roman" w:hAnsi="Times New Roman" w:eastAsia="仿宋_GB2312" w:cs="Times New Roman"/>
          <w:sz w:val="32"/>
          <w:szCs w:val="32"/>
          <w:lang w:val="en-US" w:eastAsia="zh-CN"/>
        </w:rPr>
        <w:t>县人民政府和县法院、县检察院、县政府部门自觉接受人大监督、社会监督。认真听取人大和政协的意见建议，积极办理县人大代表建议、政协委员提案。2021年县人大、县政协交由县政府办理的代表建议201件、提案199件全部办结。</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完善干部任命法律知识考试工作。</w:t>
      </w:r>
      <w:r>
        <w:rPr>
          <w:rFonts w:hint="default" w:ascii="Times New Roman" w:hAnsi="Times New Roman" w:eastAsia="仿宋_GB2312" w:cs="Times New Roman"/>
          <w:sz w:val="32"/>
          <w:szCs w:val="32"/>
          <w:lang w:val="en-US" w:eastAsia="zh-CN"/>
        </w:rPr>
        <w:t>坚决贯彻中央审改领导小组《关于完善国家工作人员学法用法制度的意见》，建立完善人大常委会任命干部任前法律考试制度，增强干部法治观念，提高运用法治思维和法治方式的能力。</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推进行政执法检查工作。</w:t>
      </w:r>
      <w:r>
        <w:rPr>
          <w:rFonts w:hint="default" w:ascii="Times New Roman" w:hAnsi="Times New Roman" w:eastAsia="仿宋_GB2312" w:cs="Times New Roman"/>
          <w:sz w:val="32"/>
          <w:szCs w:val="32"/>
          <w:lang w:val="en-US" w:eastAsia="zh-CN"/>
        </w:rPr>
        <w:t>开展对各项法律法规的执法检查，保证宪法法律在本行政区域内的正确有效贯彻实施。人大各工委负责对口联系单位法律法规贯彻实施的执法检查工作。2021年度组织的《退役军人保障法》、《税收征管法》、《民办教育促进法》、《森林法》执法检查已全部完成。同时，8月份组织开展未成年人刑事检察工作情况调研，促进检察机关发挥法律监督职能作用，依法保护未成年人合法权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4</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认真办理行政复议应诉工作。</w:t>
      </w:r>
      <w:r>
        <w:rPr>
          <w:rFonts w:hint="default" w:ascii="Times New Roman" w:hAnsi="Times New Roman" w:eastAsia="仿宋_GB2312" w:cs="Times New Roman"/>
          <w:sz w:val="32"/>
          <w:szCs w:val="32"/>
          <w:lang w:val="en-US" w:eastAsia="zh-CN"/>
        </w:rPr>
        <w:t>规范行政复议案件受理、审理、结案等程序，提高办案质量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建立行政复议与行政诉讼互动联动机制，提高案件办理效果。2021年，共接待复议咨询和复议当事人20余人次，办理行政复议案件19件，按时受理率、办结率均达到100%。积极做好行政案件的举证、答辩工作和出庭应诉，2021年共办理诉县政府的行政诉讼案件24件，全部在法定时效内完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5</w:t>
      </w:r>
      <w:r>
        <w:rPr>
          <w:rFonts w:hint="eastAsia"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bCs/>
          <w:sz w:val="32"/>
          <w:szCs w:val="32"/>
          <w:lang w:val="en-US" w:eastAsia="zh-CN"/>
        </w:rPr>
        <w:t>加快行政复议体制改革工作。</w:t>
      </w:r>
      <w:r>
        <w:rPr>
          <w:rFonts w:hint="default" w:ascii="Times New Roman" w:hAnsi="Times New Roman" w:eastAsia="仿宋_GB2312" w:cs="Times New Roman"/>
          <w:sz w:val="32"/>
          <w:szCs w:val="32"/>
          <w:lang w:val="en-US" w:eastAsia="zh-CN"/>
        </w:rPr>
        <w:t>成立了以县长为组长的临猗县行政复议改革工作领导小组，制定出台了《临猗县行政复议体制改革实施方案》，并于2021年8月25日召开了行政复议体制改革推进会暨领导小组第一次会议。在县委、政府的大力支持下，办公场地、办公经费、人员编制现已到位。我县行政复议体制改革按要求落实落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w:t>
      </w:r>
      <w:r>
        <w:rPr>
          <w:rFonts w:hint="default" w:ascii="Times New Roman" w:hAnsi="Times New Roman" w:eastAsia="黑体" w:cs="Times New Roman"/>
          <w:b w:val="0"/>
          <w:bCs w:val="0"/>
          <w:sz w:val="32"/>
          <w:szCs w:val="32"/>
        </w:rPr>
        <w:t>存在问题和薄弱环节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cs="Times New Roman"/>
        </w:rPr>
      </w:pPr>
      <w:r>
        <w:rPr>
          <w:rFonts w:hint="eastAsia" w:ascii="楷体_GB2312" w:hAnsi="楷体_GB2312" w:eastAsia="楷体_GB2312" w:cs="楷体_GB2312"/>
          <w:sz w:val="32"/>
          <w:szCs w:val="32"/>
          <w:lang w:eastAsia="zh-CN"/>
        </w:rPr>
        <w:t>（一）法治建设第一责任落实有待加强。</w:t>
      </w:r>
      <w:r>
        <w:rPr>
          <w:rFonts w:hint="default" w:ascii="Times New Roman" w:hAnsi="Times New Roman" w:eastAsia="仿宋_GB2312" w:cs="Times New Roman"/>
          <w:b w:val="0"/>
          <w:bCs w:val="0"/>
          <w:color w:val="000000"/>
          <w:sz w:val="32"/>
          <w:szCs w:val="32"/>
          <w:lang w:val="en-US" w:eastAsia="zh-CN"/>
        </w:rPr>
        <w:t>少数乡镇和县直单位学习宣传贯彻习近平法治思想不够深入有效，主要负责人履行推进法治建设第一责任人职责年度工作清单的责任不够明确，措施不够得力。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eastAsia" w:ascii="楷体_GB2312" w:hAnsi="楷体_GB2312" w:eastAsia="楷体_GB2312" w:cs="楷体_GB2312"/>
          <w:sz w:val="32"/>
          <w:szCs w:val="32"/>
          <w:lang w:eastAsia="zh-CN"/>
        </w:rPr>
        <w:t>（二）法治工作队伍力量和素能有待增强。</w:t>
      </w:r>
      <w:r>
        <w:rPr>
          <w:rFonts w:hint="default" w:ascii="Times New Roman" w:hAnsi="Times New Roman" w:eastAsia="仿宋_GB2312" w:cs="Times New Roman"/>
          <w:b w:val="0"/>
          <w:bCs w:val="0"/>
          <w:color w:val="000000"/>
          <w:sz w:val="32"/>
          <w:szCs w:val="32"/>
          <w:lang w:val="en-US" w:eastAsia="zh-CN"/>
        </w:rPr>
        <w:t>法治专业人才短缺，部分法治工作</w:t>
      </w:r>
      <w:r>
        <w:rPr>
          <w:rFonts w:hint="eastAsia" w:ascii="Times New Roman" w:hAnsi="Times New Roman" w:eastAsia="仿宋_GB2312" w:cs="Times New Roman"/>
          <w:b w:val="0"/>
          <w:bCs w:val="0"/>
          <w:color w:val="000000"/>
          <w:sz w:val="32"/>
          <w:szCs w:val="32"/>
          <w:lang w:val="en-US" w:eastAsia="zh-CN"/>
        </w:rPr>
        <w:t>人员</w:t>
      </w:r>
      <w:r>
        <w:rPr>
          <w:rFonts w:hint="default" w:ascii="Times New Roman" w:hAnsi="Times New Roman" w:eastAsia="仿宋_GB2312" w:cs="Times New Roman"/>
          <w:b w:val="0"/>
          <w:bCs w:val="0"/>
          <w:color w:val="000000"/>
          <w:sz w:val="32"/>
          <w:szCs w:val="32"/>
          <w:lang w:val="en-US" w:eastAsia="zh-CN"/>
        </w:rPr>
        <w:t>和基层执法人员能力素质不够高，不能很好适应法治建设工作的需要。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eastAsia" w:ascii="楷体_GB2312" w:hAnsi="楷体_GB2312" w:eastAsia="楷体_GB2312" w:cs="楷体_GB2312"/>
          <w:sz w:val="32"/>
          <w:szCs w:val="32"/>
          <w:lang w:eastAsia="zh-CN"/>
        </w:rPr>
        <w:t>（三）综合行政执法体制改革有待深入。</w:t>
      </w:r>
      <w:r>
        <w:rPr>
          <w:rFonts w:hint="default" w:ascii="Times New Roman" w:hAnsi="Times New Roman" w:eastAsia="仿宋_GB2312" w:cs="Times New Roman"/>
          <w:b w:val="0"/>
          <w:bCs w:val="0"/>
          <w:color w:val="000000"/>
          <w:sz w:val="32"/>
          <w:szCs w:val="32"/>
          <w:lang w:val="en-US" w:eastAsia="zh-CN"/>
        </w:rPr>
        <w:t>乡镇综合行政执法体制改革需要加快推进，还存在机构不规范、力量比较弱、执法人员专业知识欠缺等现象，部分乡镇执法工作仍由县直机关承担。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color w:val="000000"/>
          <w:sz w:val="32"/>
          <w:szCs w:val="32"/>
          <w:lang w:val="en-US" w:eastAsia="zh-CN"/>
        </w:rPr>
      </w:pPr>
      <w:r>
        <w:rPr>
          <w:rFonts w:hint="eastAsia" w:ascii="楷体_GB2312" w:hAnsi="楷体_GB2312" w:eastAsia="楷体_GB2312" w:cs="楷体_GB2312"/>
          <w:sz w:val="32"/>
          <w:szCs w:val="32"/>
          <w:lang w:eastAsia="zh-CN"/>
        </w:rPr>
        <w:t>（四）行政执法规范化建设亟待加强。</w:t>
      </w:r>
      <w:r>
        <w:rPr>
          <w:rFonts w:hint="default" w:ascii="Times New Roman" w:hAnsi="Times New Roman" w:eastAsia="仿宋_GB2312" w:cs="Times New Roman"/>
          <w:b w:val="0"/>
          <w:bCs w:val="0"/>
          <w:color w:val="000000"/>
          <w:sz w:val="32"/>
          <w:szCs w:val="32"/>
          <w:lang w:val="en-US" w:eastAsia="zh-CN"/>
        </w:rPr>
        <w:t>部分行政执法单位执法全过程记录和重大执法决定法制审核制度落实不够到位和规范，执法保障力度尚需加强，</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双随机、一公开</w:t>
      </w:r>
      <w:r>
        <w:rPr>
          <w:rFonts w:hint="eastAsia"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lang w:val="en-US" w:eastAsia="zh-CN"/>
        </w:rPr>
        <w:t>执法检查形式大于效果，存在指定检查人员、系统使用率低等问题。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三、2022年法治政府建设计划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（一）深入学习贯彻习近平法治思想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将深入学习贯彻习近平法治思想作为各级党委（党组）理论学习中心组学习的一项重点内容，纳入党校各级干部培训课程，开展全覆盖的培训、轮训。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 w:cs="Times New Roman"/>
          <w:sz w:val="32"/>
          <w:szCs w:val="32"/>
          <w:lang w:val="en-US" w:eastAsia="zh-CN"/>
        </w:rPr>
      </w:pPr>
      <w:r>
        <w:rPr>
          <w:rFonts w:hint="eastAsia" w:ascii="楷体_GB2312" w:hAnsi="楷体_GB2312" w:eastAsia="楷体_GB2312" w:cs="楷体_GB2312"/>
          <w:sz w:val="32"/>
          <w:szCs w:val="32"/>
          <w:lang w:val="en-US" w:eastAsia="zh-CN"/>
        </w:rPr>
        <w:t>（二）健全完善法治政府建设制度机制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健全各级党委（党组）领导法治建设制度体系，完善党委依法决策机制，健全党委议事规则和决策程序。抓住党政主要负责人这一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关键少数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，通过专项督察督促严格履行推进法治建设第一责任人职责。健全行政决策制度，坚持科学决策、民主决策、依法决策，着力实施行政决策程序规定严格落实，不断提升行政决策公信力和执行力。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（三）严格规范公正文明执法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全面落实行政执法公示，执法全过程记录、重大执法决定法制审核制度，统一行政执法人员资格管理。加大食品药品、生态环境、安全生产等重点领域执法的监督检查力度，深入推进行政执法规范化建设。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（四）全面实施“八五”普法规划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深入全民普法工作改革创新。推进落实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谁执法谁普法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责任制，创新载体形式，大力推进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智慧普法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，努力形成融</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报、网、端、屏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于一体的全媒体法治传播体系。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sz w:val="32"/>
          <w:szCs w:val="32"/>
          <w:lang w:val="en-US" w:eastAsia="zh-CN"/>
        </w:rPr>
      </w:pPr>
      <w:r>
        <w:rPr>
          <w:rFonts w:hint="eastAsia" w:ascii="楷体_GB2312" w:hAnsi="楷体_GB2312" w:eastAsia="楷体_GB2312" w:cs="楷体_GB2312"/>
          <w:sz w:val="32"/>
          <w:szCs w:val="32"/>
          <w:lang w:val="en-US" w:eastAsia="zh-CN"/>
        </w:rPr>
        <w:t>（五）申报省级法治政府建设单项示范县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积极筹备法治宣传教育、行政复议体制改革两项法治政府建设单项示范县创建项目。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（六）健全社会矛盾多元预防调处化解机制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坚持和发展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枫桥经验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，加强矛盾排查和风险研判，努力将矛盾纠纷化解在基层、解决在萌芽状态。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（七）加强对行政执法的制约和监督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充分发挥行政执法监督统筹协调、规范保障、督促指导作用，逐步实现县乡全覆盖的行政执法协调监督工作体系。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（八）深化行政复议体制改革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加强行政复议规范化建设，全面推进行政复议规范化、专业化、信息化建设，不断提高办案质量和效率</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健全优化行政复议审理机制。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tabs>
          <w:tab w:val="left" w:pos="3240"/>
        </w:tabs>
        <w:kinsoku/>
        <w:wordWrap w:val="0"/>
        <w:overflowPunct/>
        <w:topLinePunct w:val="0"/>
        <w:autoSpaceDE/>
        <w:autoSpaceDN/>
        <w:bidi w:val="0"/>
        <w:adjustRightInd/>
        <w:snapToGrid/>
        <w:spacing w:beforeAutospacing="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34"/>
          <w:sz w:val="32"/>
          <w:szCs w:val="32"/>
        </w:rPr>
      </w:pPr>
      <w:r>
        <w:rPr>
          <w:rFonts w:hint="eastAsia" w:ascii="Times New Roman" w:hAnsi="Times New Roman" w:eastAsia="仿宋_GB2312" w:cs="Times New Roman"/>
          <w:color w:val="000000"/>
          <w:spacing w:val="34"/>
          <w:sz w:val="32"/>
          <w:szCs w:val="32"/>
          <w:lang w:val="en-US" w:eastAsia="zh-CN"/>
        </w:rPr>
        <w:t xml:space="preserve">                  </w:t>
      </w:r>
      <w:r>
        <w:rPr>
          <w:rFonts w:hint="default" w:ascii="Times New Roman" w:hAnsi="Times New Roman" w:eastAsia="仿宋_GB2312" w:cs="Times New Roman"/>
          <w:color w:val="000000"/>
          <w:spacing w:val="34"/>
          <w:sz w:val="32"/>
          <w:szCs w:val="32"/>
        </w:rPr>
        <w:t>中共临猗县委</w:t>
      </w:r>
    </w:p>
    <w:p>
      <w:pPr>
        <w:keepNext w:val="0"/>
        <w:keepLines w:val="0"/>
        <w:pageBreakBefore w:val="0"/>
        <w:widowControl w:val="0"/>
        <w:tabs>
          <w:tab w:val="left" w:pos="3240"/>
        </w:tabs>
        <w:kinsoku/>
        <w:wordWrap w:val="0"/>
        <w:overflowPunct/>
        <w:topLinePunct w:val="0"/>
        <w:autoSpaceDE/>
        <w:autoSpaceDN/>
        <w:bidi w:val="0"/>
        <w:adjustRightInd/>
        <w:snapToGrid/>
        <w:spacing w:beforeAutospacing="0" w:line="400" w:lineRule="exact"/>
        <w:ind w:left="0" w:leftChars="0" w:right="0" w:rightChars="0" w:firstLine="0" w:firstLineChars="0"/>
        <w:jc w:val="center"/>
        <w:textAlignment w:val="auto"/>
        <w:outlineLvl w:val="9"/>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 xml:space="preserve">                          </w:t>
      </w:r>
      <w:r>
        <w:rPr>
          <w:rFonts w:hint="default" w:ascii="Times New Roman" w:hAnsi="Times New Roman" w:eastAsia="仿宋_GB2312" w:cs="Times New Roman"/>
          <w:color w:val="000000"/>
          <w:spacing w:val="0"/>
          <w:sz w:val="32"/>
          <w:szCs w:val="32"/>
          <w:lang w:eastAsia="zh-CN"/>
        </w:rPr>
        <w:t>临猗县人民政府</w:t>
      </w:r>
    </w:p>
    <w:p>
      <w:pPr>
        <w:keepNext w:val="0"/>
        <w:keepLines w:val="0"/>
        <w:pageBreakBefore w:val="0"/>
        <w:widowControl w:val="0"/>
        <w:kinsoku/>
        <w:wordWrap/>
        <w:overflowPunct/>
        <w:topLinePunct w:val="0"/>
        <w:autoSpaceDE/>
        <w:autoSpaceDN/>
        <w:bidi w:val="0"/>
        <w:adjustRightInd/>
        <w:snapToGrid/>
        <w:spacing w:beforeAutospacing="0" w:line="400" w:lineRule="exact"/>
        <w:ind w:firstLine="1280" w:firstLineChars="4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2"/>
        <w:rPr>
          <w:rFonts w:hint="default" w:ascii="Times New Roman" w:hAnsi="Times New Roman" w:eastAsia="仿宋_GB2312" w:cs="Times New Roman"/>
          <w:color w:val="auto"/>
          <w:sz w:val="32"/>
          <w:szCs w:val="32"/>
          <w:lang w:val="en-US" w:eastAsia="zh-CN"/>
        </w:rPr>
      </w:pPr>
    </w:p>
    <w:p>
      <w:pPr>
        <w:pStyle w:val="2"/>
        <w:keepNext w:val="0"/>
        <w:keepLines w:val="0"/>
        <w:pageBreakBefore w:val="0"/>
        <w:widowControl w:val="0"/>
        <w:kinsoku/>
        <w:overflowPunct/>
        <w:topLinePunct w:val="0"/>
        <w:autoSpaceDE/>
        <w:autoSpaceDN/>
        <w:bidi w:val="0"/>
        <w:adjustRightInd/>
        <w:snapToGrid/>
        <w:spacing w:before="0" w:beforeAutospacing="0" w:after="0" w:line="600" w:lineRule="exact"/>
        <w:textAlignment w:val="auto"/>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28"/>
          <w:szCs w:val="2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22225</wp:posOffset>
                </wp:positionV>
                <wp:extent cx="5567680" cy="0"/>
                <wp:effectExtent l="0" t="0" r="0" b="0"/>
                <wp:wrapNone/>
                <wp:docPr id="2" name="直接连接符 2"/>
                <wp:cNvGraphicFramePr/>
                <a:graphic xmlns:a="http://schemas.openxmlformats.org/drawingml/2006/main">
                  <a:graphicData uri="http://schemas.microsoft.com/office/word/2010/wordprocessingShape">
                    <wps:wsp>
                      <wps:cNvCnPr/>
                      <wps:spPr>
                        <a:xfrm>
                          <a:off x="1048385" y="8386445"/>
                          <a:ext cx="5567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75pt;height:0pt;width:438.4pt;z-index:251661312;mso-width-relative:page;mso-height-relative:page;" filled="f" stroked="t" coordsize="21600,21600" o:gfxdata="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Xp&#10;nNIAAAAFAQAADwAAAAAAAAABACAAAAAiAAAAZHJzL2Rvd25yZXYueG1sUEsBAhQAFAAAAAgAh07i&#10;QM3DapjvAQAAvQMAAA4AAAAAAAAAAQAgAAAAIQEAAGRycy9lMm9Eb2MueG1sUEsFBgAAAAAGAAYA&#10;WQEAAIIFAAAAAA==&#10;">
                <v:fill on="f" focussize="0,0"/>
                <v:stroke weight="0.5pt" color="#000000 [3213]" miterlimit="8" joinstyle="miter"/>
                <v:imagedata o:title=""/>
                <o:lock v:ext="edit" aspectratio="f"/>
              </v:line>
            </w:pict>
          </mc:Fallback>
        </mc:AlternateContent>
      </w:r>
      <w:r>
        <w:rPr>
          <w:rFonts w:hint="eastAsia" w:ascii="Times New Roman" w:hAnsi="Times New Roman" w:eastAsia="仿宋_GB2312" w:cs="Times New Roman"/>
          <w:sz w:val="28"/>
          <w:szCs w:val="28"/>
          <w:lang w:val="en-US" w:eastAsia="zh-CN"/>
        </w:rPr>
        <w:t>抄送：运城市委依法治市办公室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lang w:val="en-US" w:eastAsia="zh-CN"/>
        </w:rPr>
      </w:pPr>
      <w:r>
        <w:rPr>
          <w:rFonts w:hint="default" w:ascii="Times New Roman" w:hAnsi="Times New Roman" w:eastAsia="仿宋_GB2312" w:cs="Times New Roman"/>
          <w:i w:val="0"/>
          <w:iCs w:val="0"/>
          <w:color w:val="000000"/>
          <w:kern w:val="2"/>
          <w:sz w:val="21"/>
          <w:szCs w:val="22"/>
          <w:u w:val="none"/>
          <w:lang w:val="en-US" w:eastAsia="zh-CN" w:bidi="ar-SA"/>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425450</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3.5pt;height:0.05pt;width:442.2pt;mso-position-horizontal:left;z-index:251660288;mso-width-relative:page;mso-height-relative:page;" filled="f" stroked="t" coordsize="21600,21600" o:gfxdata="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8oZrDVAAAABgEAAA8AAAAAAAAAAQAgAAAAIgAAAGRycy9kb3ducmV2LnhtbFBLAQIU&#10;ABQAAAAIAIdO4kAkfEJm9gEAAOYDAAAOAAAAAAAAAAEAIAAAACQ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i w:val="0"/>
          <w:iCs w:val="0"/>
          <w:color w:val="000000"/>
          <w:sz w:val="28"/>
          <w:szCs w:val="28"/>
          <w:u w:val="none"/>
        </w:rPr>
        <w:t>中共临猗县委办公室          　　 　</w:t>
      </w:r>
      <w:r>
        <w:rPr>
          <w:rFonts w:hint="eastAsia" w:ascii="Times New Roman" w:hAnsi="Times New Roman" w:eastAsia="仿宋_GB2312" w:cs="Times New Roman"/>
          <w:i w:val="0"/>
          <w:iCs w:val="0"/>
          <w:color w:val="000000"/>
          <w:sz w:val="28"/>
          <w:szCs w:val="28"/>
          <w:u w:val="none"/>
          <w:lang w:val="en-US" w:eastAsia="zh-CN"/>
        </w:rPr>
        <w:t xml:space="preserve">   </w:t>
      </w:r>
      <w:r>
        <w:rPr>
          <w:rFonts w:hint="default" w:ascii="Times New Roman" w:hAnsi="Times New Roman" w:eastAsia="仿宋_GB2312" w:cs="Times New Roman"/>
          <w:i w:val="0"/>
          <w:iCs w:val="0"/>
          <w:color w:val="000000"/>
          <w:sz w:val="28"/>
          <w:szCs w:val="28"/>
          <w:u w:val="none"/>
        </w:rPr>
        <w:t xml:space="preserve">      20</w:t>
      </w:r>
      <w:r>
        <w:rPr>
          <w:rFonts w:hint="default" w:ascii="Times New Roman" w:hAnsi="Times New Roman" w:eastAsia="仿宋_GB2312" w:cs="Times New Roman"/>
          <w:i w:val="0"/>
          <w:iCs w:val="0"/>
          <w:color w:val="000000"/>
          <w:sz w:val="28"/>
          <w:szCs w:val="28"/>
          <w:u w:val="none"/>
          <w:lang w:val="en-US" w:eastAsia="zh-CN"/>
        </w:rPr>
        <w:t>2</w:t>
      </w:r>
      <w:r>
        <w:rPr>
          <w:rFonts w:hint="eastAsia" w:ascii="Times New Roman" w:hAnsi="Times New Roman" w:eastAsia="仿宋_GB2312" w:cs="Times New Roman"/>
          <w:i w:val="0"/>
          <w:iCs w:val="0"/>
          <w:color w:val="000000"/>
          <w:sz w:val="28"/>
          <w:szCs w:val="28"/>
          <w:u w:val="none"/>
          <w:lang w:val="en-US" w:eastAsia="zh-CN"/>
        </w:rPr>
        <w:t>2</w:t>
      </w:r>
      <w:r>
        <w:rPr>
          <w:rFonts w:hint="default" w:ascii="Times New Roman" w:hAnsi="Times New Roman" w:eastAsia="仿宋_GB2312" w:cs="Times New Roman"/>
          <w:i w:val="0"/>
          <w:iCs w:val="0"/>
          <w:color w:val="000000"/>
          <w:sz w:val="28"/>
          <w:szCs w:val="28"/>
          <w:u w:val="none"/>
        </w:rPr>
        <w:t>年</w:t>
      </w:r>
      <w:r>
        <w:rPr>
          <w:rFonts w:hint="eastAsia" w:ascii="Times New Roman" w:hAnsi="Times New Roman" w:eastAsia="仿宋_GB2312" w:cs="Times New Roman"/>
          <w:i w:val="0"/>
          <w:iCs w:val="0"/>
          <w:color w:val="000000"/>
          <w:sz w:val="28"/>
          <w:szCs w:val="28"/>
          <w:u w:val="none"/>
          <w:lang w:val="en-US" w:eastAsia="zh-CN"/>
        </w:rPr>
        <w:t>1</w:t>
      </w:r>
      <w:r>
        <w:rPr>
          <w:rFonts w:hint="default" w:ascii="Times New Roman" w:hAnsi="Times New Roman" w:eastAsia="仿宋_GB2312" w:cs="Times New Roman"/>
          <w:i w:val="0"/>
          <w:iCs w:val="0"/>
          <w:color w:val="000000"/>
          <w:sz w:val="28"/>
          <w:szCs w:val="28"/>
          <w:u w:val="none"/>
        </w:rPr>
        <w:t>月</w:t>
      </w:r>
      <w:r>
        <w:rPr>
          <w:rFonts w:hint="eastAsia" w:ascii="Times New Roman" w:hAnsi="Times New Roman" w:eastAsia="仿宋_GB2312" w:cs="Times New Roman"/>
          <w:i w:val="0"/>
          <w:iCs w:val="0"/>
          <w:color w:val="000000"/>
          <w:sz w:val="28"/>
          <w:szCs w:val="28"/>
          <w:u w:val="none"/>
          <w:lang w:val="en-US" w:eastAsia="zh-CN"/>
        </w:rPr>
        <w:t>19</w:t>
      </w:r>
      <w:r>
        <w:rPr>
          <w:rFonts w:hint="default" w:ascii="Times New Roman" w:hAnsi="Times New Roman" w:eastAsia="仿宋_GB2312" w:cs="Times New Roman"/>
          <w:i w:val="0"/>
          <w:iCs w:val="0"/>
          <w:color w:val="000000"/>
          <w:sz w:val="28"/>
          <w:szCs w:val="28"/>
          <w:u w:val="none"/>
        </w:rPr>
        <w:t>日印发</w:t>
      </w:r>
      <w:r>
        <w:rPr>
          <w:rFonts w:hint="default" w:ascii="Times New Roman" w:hAnsi="Times New Roman" w:eastAsia="仿宋_GB2312" w:cs="Times New Roman"/>
          <w:i w:val="0"/>
          <w:iCs w:val="0"/>
          <w:color w:val="000000"/>
          <w:kern w:val="2"/>
          <w:sz w:val="21"/>
          <w:szCs w:val="22"/>
          <w:u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41910</wp:posOffset>
                </wp:positionV>
                <wp:extent cx="56159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3pt;height:0.05pt;width:442.2pt;mso-position-horizontal:left;z-index:251659264;mso-width-relative:page;mso-height-relative:page;" filled="f" stroked="t" coordsize="21600,21600" o:gfxdata="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i/zo0wAAAAQBAAAPAAAAAAAAAAEAIAAAACIAAABkcnMvZG93bnJldi54bWxQSwECFAAU&#10;AAAACACHTuJA2rGNbPYBAADmAwAADgAAAAAAAAABACAAAAAiAQAAZHJzL2Uyb0RvYy54bWxQSwUG&#10;AAAAAAYABgBZAQAAigUAAAAA&#10;">
                <v:fill on="f" focussize="0,0"/>
                <v:stroke color="#000000" joinstyle="round"/>
                <v:imagedata o:title=""/>
                <o:lock v:ext="edit" aspectratio="f"/>
              </v:line>
            </w:pict>
          </mc:Fallback>
        </mc:AlternateContent>
      </w:r>
    </w:p>
    <w:sectPr>
      <w:footerReference r:id="rId3" w:type="default"/>
      <w:pgSz w:w="11906" w:h="16838"/>
      <w:pgMar w:top="2098" w:right="1474"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64D5C"/>
    <w:rsid w:val="01610EEE"/>
    <w:rsid w:val="04CD6C68"/>
    <w:rsid w:val="07AF7E3A"/>
    <w:rsid w:val="07DC1E60"/>
    <w:rsid w:val="097E7AC3"/>
    <w:rsid w:val="0A6F1B02"/>
    <w:rsid w:val="0A833718"/>
    <w:rsid w:val="0A8C6210"/>
    <w:rsid w:val="0ABC4D71"/>
    <w:rsid w:val="0DEF42BC"/>
    <w:rsid w:val="102313C5"/>
    <w:rsid w:val="10973B61"/>
    <w:rsid w:val="10FB40F0"/>
    <w:rsid w:val="12103BCB"/>
    <w:rsid w:val="124F5DD4"/>
    <w:rsid w:val="12500E45"/>
    <w:rsid w:val="141C4477"/>
    <w:rsid w:val="15A20B0E"/>
    <w:rsid w:val="15A46B04"/>
    <w:rsid w:val="17A54DB5"/>
    <w:rsid w:val="17C50FB3"/>
    <w:rsid w:val="18426160"/>
    <w:rsid w:val="18AD3F21"/>
    <w:rsid w:val="18C47FA6"/>
    <w:rsid w:val="19266B1E"/>
    <w:rsid w:val="1B0E5853"/>
    <w:rsid w:val="1BEE39A5"/>
    <w:rsid w:val="1D284574"/>
    <w:rsid w:val="1D2D73DF"/>
    <w:rsid w:val="1DBF7C18"/>
    <w:rsid w:val="1E8950BB"/>
    <w:rsid w:val="230706D2"/>
    <w:rsid w:val="23307672"/>
    <w:rsid w:val="24227374"/>
    <w:rsid w:val="24C356CF"/>
    <w:rsid w:val="25333A00"/>
    <w:rsid w:val="25856B7F"/>
    <w:rsid w:val="26052FFB"/>
    <w:rsid w:val="26094761"/>
    <w:rsid w:val="26EF5705"/>
    <w:rsid w:val="26F57CEA"/>
    <w:rsid w:val="270E7AE3"/>
    <w:rsid w:val="278055B9"/>
    <w:rsid w:val="280276BA"/>
    <w:rsid w:val="2C27002E"/>
    <w:rsid w:val="2E0C1292"/>
    <w:rsid w:val="2E382087"/>
    <w:rsid w:val="2E8157DC"/>
    <w:rsid w:val="2EE67D35"/>
    <w:rsid w:val="2F7E7F6E"/>
    <w:rsid w:val="2FA5374C"/>
    <w:rsid w:val="2FC07B5C"/>
    <w:rsid w:val="30A13F14"/>
    <w:rsid w:val="30BF25EC"/>
    <w:rsid w:val="31224C36"/>
    <w:rsid w:val="36481A4A"/>
    <w:rsid w:val="373F6235"/>
    <w:rsid w:val="378008F1"/>
    <w:rsid w:val="381476C1"/>
    <w:rsid w:val="38B7657F"/>
    <w:rsid w:val="38C8225A"/>
    <w:rsid w:val="39F017DF"/>
    <w:rsid w:val="3A244231"/>
    <w:rsid w:val="3B2E2848"/>
    <w:rsid w:val="3E300685"/>
    <w:rsid w:val="3EE85404"/>
    <w:rsid w:val="41302765"/>
    <w:rsid w:val="41D103D1"/>
    <w:rsid w:val="435E3EE6"/>
    <w:rsid w:val="44400B8F"/>
    <w:rsid w:val="44E4170A"/>
    <w:rsid w:val="457B6371"/>
    <w:rsid w:val="46C978C9"/>
    <w:rsid w:val="46D8103D"/>
    <w:rsid w:val="487023A6"/>
    <w:rsid w:val="4A6F7601"/>
    <w:rsid w:val="4AAA7364"/>
    <w:rsid w:val="4C3F43AF"/>
    <w:rsid w:val="4CA566E2"/>
    <w:rsid w:val="4CB1386B"/>
    <w:rsid w:val="4DCC4418"/>
    <w:rsid w:val="4F74724B"/>
    <w:rsid w:val="4FA71C77"/>
    <w:rsid w:val="50694842"/>
    <w:rsid w:val="513242BC"/>
    <w:rsid w:val="5176689F"/>
    <w:rsid w:val="51E63232"/>
    <w:rsid w:val="51F96925"/>
    <w:rsid w:val="53330F81"/>
    <w:rsid w:val="5641747C"/>
    <w:rsid w:val="576D10A9"/>
    <w:rsid w:val="5A4E666C"/>
    <w:rsid w:val="5B1707AB"/>
    <w:rsid w:val="5BC570EE"/>
    <w:rsid w:val="5BEE20A9"/>
    <w:rsid w:val="5CF702E9"/>
    <w:rsid w:val="5DA146B3"/>
    <w:rsid w:val="5DC866D4"/>
    <w:rsid w:val="5E851633"/>
    <w:rsid w:val="61CE1DDF"/>
    <w:rsid w:val="64564D5C"/>
    <w:rsid w:val="645900D7"/>
    <w:rsid w:val="65F31E15"/>
    <w:rsid w:val="66604EBE"/>
    <w:rsid w:val="66C739CD"/>
    <w:rsid w:val="67340755"/>
    <w:rsid w:val="67CF0495"/>
    <w:rsid w:val="68EA587D"/>
    <w:rsid w:val="6A6B086A"/>
    <w:rsid w:val="6BAD34F3"/>
    <w:rsid w:val="6D767985"/>
    <w:rsid w:val="6E9623AA"/>
    <w:rsid w:val="706530AD"/>
    <w:rsid w:val="70755580"/>
    <w:rsid w:val="730F3A38"/>
    <w:rsid w:val="734E4B2E"/>
    <w:rsid w:val="75F96FD3"/>
    <w:rsid w:val="764F12E9"/>
    <w:rsid w:val="766C59F7"/>
    <w:rsid w:val="78A23952"/>
    <w:rsid w:val="78A551F0"/>
    <w:rsid w:val="78B250D4"/>
    <w:rsid w:val="78B92171"/>
    <w:rsid w:val="7A293706"/>
    <w:rsid w:val="7B53581B"/>
    <w:rsid w:val="7D32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uppressAutoHyphens w:val="0"/>
      <w:adjustRightInd w:val="0"/>
      <w:snapToGrid w:val="0"/>
      <w:spacing w:after="0" w:line="360" w:lineRule="auto"/>
      <w:ind w:left="1559" w:leftChars="171" w:firstLine="420" w:firstLineChars="200"/>
    </w:pPr>
    <w:rPr>
      <w:rFonts w:ascii="宋体" w:hAnsi="宋体" w:eastAsia="仿宋_GB2312"/>
      <w:sz w:val="24"/>
    </w:rPr>
  </w:style>
  <w:style w:type="paragraph" w:styleId="3">
    <w:name w:val="Body Text Indent"/>
    <w:basedOn w:val="1"/>
    <w:semiHidden/>
    <w:qFormat/>
    <w:uiPriority w:val="99"/>
    <w:pPr>
      <w:spacing w:after="120"/>
      <w:ind w:left="420" w:leftChars="200"/>
    </w:pPr>
  </w:style>
  <w:style w:type="paragraph" w:styleId="4">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after="120" w:line="480" w:lineRule="auto"/>
    </w:pPr>
  </w:style>
  <w:style w:type="paragraph" w:customStyle="1" w:styleId="10">
    <w:name w:val="Body text|1"/>
    <w:basedOn w:val="1"/>
    <w:qFormat/>
    <w:uiPriority w:val="0"/>
    <w:pPr>
      <w:widowControl w:val="0"/>
      <w:shd w:val="clear" w:color="auto" w:fill="auto"/>
      <w:spacing w:line="43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2021-12-31T01:37:00Z</dcterms:created>
  <dc:creator>可乐</dc:creator>
  <cp:lastModifiedBy>Administrator</cp:lastModifiedBy>
  <cp:lastPrinted>2022-01-19T02:18:00Z</cp:lastPrinted>
  <dcterms:modified xsi:type="dcterms:W3CDTF">2022-01-21T01:21:53Z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35647F419CE14983B6EC4CEA76BABADB</vt:lpwstr>
  </property>
</Properties>
</file>